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LONDON SCHOOL OF SOCIAL ENTERPRISE AND SUSTAINABLE ECONOMICS</w:t>
              <w:br/>
            </w:r>
            <w:r>
              <w:rPr>
                <w:rFonts w:ascii="Arial" w:hAnsi="Arial"/>
                <w:b/>
                <w:color w:val="FFFFFF"/>
                <w:sz w:val="36"/>
              </w:rPr>
              <w:t>LSSE DIGITAL PROSPECTUS AND CONVERSION SYSTEM</w:t>
            </w:r>
            <w:r>
              <w:rPr>
                <w:rFonts w:ascii="Arial" w:hAnsi="Arial"/>
                <w:color w:val="DDE6F0"/>
                <w:sz w:val="18"/>
              </w:rPr>
              <w:br/>
              <w:t>Full 40-page Tier-1 institutional prospectus, lead funnel, admissions journey and implementation blueprint</w:t>
            </w:r>
          </w:p>
        </w:tc>
      </w:tr>
    </w:tbl>
    <w:p>
      <w:pPr>
        <w:jc w:val="center"/>
      </w:pPr>
      <w:r>
        <w:rPr>
          <w:rFonts w:ascii="Arial" w:hAnsi="Arial"/>
          <w:b/>
          <w:color w:val="0B1F3A"/>
          <w:sz w:val="36"/>
        </w:rPr>
        <w:br/>
        <w:t>Education for leadership, institutions and long-term public value</w:t>
      </w:r>
    </w:p>
    <w:p>
      <w:pPr>
        <w:jc w:val="center"/>
      </w:pPr>
      <w:r>
        <w:rPr>
          <w:rFonts w:ascii="Arial" w:hAnsi="Arial"/>
          <w:color w:val="5A6470"/>
          <w:sz w:val="20"/>
        </w:rPr>
        <w:t>Prepared for Management Approval, Admissions Conversion, Digital Implementation and Brand Positioning</w:t>
        <w:br/>
        <w:t>2026 Institutional Draft</w:t>
      </w:r>
    </w:p>
    <w:tbl>
      <w:tblPr>
        <w:tblStyle w:val="TableGrid"/>
        <w:tblW w:type="auto" w:w="0"/>
        <w:jc w:val="center"/>
        <w:tblLook w:firstColumn="1" w:firstRow="1" w:lastColumn="0" w:lastRow="0" w:noHBand="0" w:noVBand="1" w:val="04A0"/>
      </w:tblPr>
      <w:tblGrid>
        <w:gridCol w:w="10368"/>
      </w:tblGrid>
      <w:tr>
        <w:tc>
          <w:tcPr>
            <w:tcW w:type="dxa" w:w="10368"/>
            <w:vAlign w:val="top"/>
            <w:shd w:fill="F8F3E7"/>
          </w:tcPr>
          <w:p>
            <w:pPr>
              <w:spacing w:after="120" w:before="120"/>
            </w:pPr>
            <w:r>
              <w:rPr>
                <w:rFonts w:ascii="Arial" w:hAnsi="Arial"/>
                <w:b/>
                <w:color w:val="0B1F3A"/>
                <w:sz w:val="21"/>
              </w:rPr>
              <w:t>Strategic objective</w:t>
              <w:br/>
            </w:r>
            <w:r>
              <w:rPr>
                <w:rFonts w:ascii="Arial" w:hAnsi="Arial"/>
                <w:color w:val="1F2937"/>
                <w:sz w:val="18"/>
              </w:rPr>
              <w:t>To create a world-class prospectus and conversion system that presents LSSE as a serious global institution for social enterprise, sustainable economics, ESG execution, executive education and professional recognition.</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DOCUMENT NAVIGATION</w:t>
              <w:br/>
            </w:r>
            <w:r>
              <w:rPr>
                <w:rFonts w:ascii="Arial" w:hAnsi="Arial"/>
                <w:b/>
                <w:color w:val="FFFFFF"/>
                <w:sz w:val="36"/>
              </w:rPr>
              <w:t>Contents</w:t>
            </w:r>
            <w:r>
              <w:rPr>
                <w:rFonts w:ascii="Arial" w:hAnsi="Arial"/>
                <w:color w:val="DDE6F0"/>
                <w:sz w:val="18"/>
              </w:rPr>
              <w:br/>
              <w:t>Structure of the prospectus and funnel pack</w:t>
            </w:r>
          </w:p>
        </w:tc>
      </w:tr>
    </w:tbl>
    <w:p>
      <w:pPr>
        <w:spacing w:after="100"/>
      </w:pPr>
      <w:r>
        <w:t>1. Executive Summary</w:t>
      </w:r>
    </w:p>
    <w:p>
      <w:pPr>
        <w:spacing w:after="100"/>
      </w:pPr>
      <w:r>
        <w:t>2. Institutional Positioning</w:t>
      </w:r>
    </w:p>
    <w:p>
      <w:pPr>
        <w:spacing w:after="100"/>
      </w:pPr>
      <w:r>
        <w:t>3. Audience Architecture</w:t>
      </w:r>
    </w:p>
    <w:p>
      <w:pPr>
        <w:spacing w:after="100"/>
      </w:pPr>
      <w:r>
        <w:t>4. Prospectus Design Principles</w:t>
      </w:r>
    </w:p>
    <w:p>
      <w:pPr>
        <w:spacing w:after="100"/>
      </w:pPr>
      <w:r>
        <w:t>5. Full Prospectus Editorial Plan</w:t>
      </w:r>
    </w:p>
    <w:p>
      <w:pPr>
        <w:spacing w:after="100"/>
      </w:pPr>
      <w:r>
        <w:t>6. LSSE Learning Architecture</w:t>
      </w:r>
    </w:p>
    <w:p>
      <w:pPr>
        <w:spacing w:after="100"/>
      </w:pPr>
      <w:r>
        <w:t>7. Areas of Study</w:t>
      </w:r>
    </w:p>
    <w:p>
      <w:pPr>
        <w:spacing w:after="100"/>
      </w:pPr>
      <w:r>
        <w:t>8. ESG Programmes Narrative</w:t>
      </w:r>
    </w:p>
    <w:p>
      <w:pPr>
        <w:spacing w:after="100"/>
      </w:pPr>
      <w:r>
        <w:t>9. Social Entrepreneur Certification Narrative</w:t>
      </w:r>
    </w:p>
    <w:p>
      <w:pPr>
        <w:spacing w:after="100"/>
      </w:pPr>
      <w:r>
        <w:t>10. LSSE Society Narrative</w:t>
      </w:r>
    </w:p>
    <w:p>
      <w:pPr>
        <w:spacing w:after="100"/>
      </w:pPr>
      <w:r>
        <w:t>11. ESG Project Lab Narrative</w:t>
      </w:r>
    </w:p>
    <w:p>
      <w:pPr>
        <w:spacing w:after="100"/>
      </w:pPr>
      <w:r>
        <w:t>12. Executive Education Narrative</w:t>
      </w:r>
    </w:p>
    <w:p>
      <w:pPr>
        <w:spacing w:after="100"/>
      </w:pPr>
      <w:r>
        <w:t>13. Digital Prospectus Request Page</w:t>
      </w:r>
    </w:p>
    <w:p>
      <w:pPr>
        <w:spacing w:after="100"/>
      </w:pPr>
      <w:r>
        <w:t>14. Multi-Step Prospectus Form</w:t>
      </w:r>
    </w:p>
    <w:p>
      <w:pPr>
        <w:spacing w:after="100"/>
      </w:pPr>
      <w:r>
        <w:t>15. Thank You and Download Journey</w:t>
      </w:r>
    </w:p>
    <w:p>
      <w:pPr>
        <w:spacing w:after="100"/>
      </w:pPr>
      <w:r>
        <w:t>16. Admissions Email Sequence</w:t>
      </w:r>
    </w:p>
    <w:p>
      <w:pPr>
        <w:spacing w:after="100"/>
      </w:pPr>
      <w:r>
        <w:t>17. CRM and Segmentation Logic</w:t>
      </w:r>
    </w:p>
    <w:p>
      <w:pPr>
        <w:spacing w:after="100"/>
      </w:pPr>
      <w:r>
        <w:t>18. Lead Scoring and Conversion Metrics</w:t>
      </w:r>
    </w:p>
    <w:p>
      <w:pPr>
        <w:spacing w:after="100"/>
      </w:pPr>
      <w:r>
        <w:t>19. Developer Implementation Blueprint</w:t>
      </w:r>
    </w:p>
    <w:p>
      <w:pPr>
        <w:spacing w:after="100"/>
      </w:pPr>
      <w:r>
        <w:t>20. Design System and Creative Direction</w:t>
      </w:r>
    </w:p>
    <w:p>
      <w:pPr>
        <w:spacing w:after="100"/>
      </w:pPr>
      <w:r>
        <w:t>21. Governance and Data Protection</w:t>
      </w:r>
    </w:p>
    <w:p>
      <w:pPr>
        <w:spacing w:after="100"/>
      </w:pPr>
      <w:r>
        <w:t>22. Launch Roadmap</w:t>
      </w:r>
    </w:p>
    <w:p>
      <w:pPr>
        <w:spacing w:after="100"/>
      </w:pPr>
      <w:r>
        <w:t>23. Appendices</w:t>
      </w:r>
    </w:p>
    <w:tbl>
      <w:tblPr>
        <w:tblStyle w:val="TableGrid"/>
        <w:tblW w:type="auto" w:w="0"/>
        <w:jc w:val="center"/>
        <w:tblLook w:firstColumn="1" w:firstRow="1" w:lastColumn="0" w:lastRow="0" w:noHBand="0" w:noVBand="1" w:val="04A0"/>
      </w:tblPr>
      <w:tblGrid>
        <w:gridCol w:w="10368"/>
      </w:tblGrid>
      <w:tr>
        <w:tc>
          <w:tcPr>
            <w:tcW w:type="dxa" w:w="10368"/>
            <w:vAlign w:val="top"/>
            <w:shd w:fill="F3F6FA"/>
          </w:tcPr>
          <w:p>
            <w:pPr>
              <w:spacing w:after="120" w:before="120"/>
            </w:pPr>
            <w:r>
              <w:rPr>
                <w:rFonts w:ascii="Arial" w:hAnsi="Arial"/>
                <w:b/>
                <w:color w:val="0B1F3A"/>
                <w:sz w:val="21"/>
              </w:rPr>
              <w:t>Purpose of this pack</w:t>
              <w:br/>
            </w:r>
            <w:r>
              <w:rPr>
                <w:rFonts w:ascii="Arial" w:hAnsi="Arial"/>
                <w:color w:val="1F2937"/>
                <w:sz w:val="18"/>
              </w:rPr>
              <w:t>This document is both a content blueprint and an implementation blueprint. It is intended for LSSE management, marketing, admissions, developers, designers and programme teams.</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MANAGEMENT FRAMING</w:t>
              <w:br/>
            </w:r>
            <w:r>
              <w:rPr>
                <w:rFonts w:ascii="Arial" w:hAnsi="Arial"/>
                <w:b/>
                <w:color w:val="FFFFFF"/>
                <w:sz w:val="36"/>
              </w:rPr>
              <w:t>1. Executive Summary</w:t>
            </w:r>
            <w:r>
              <w:rPr>
                <w:rFonts w:ascii="Arial" w:hAnsi="Arial"/>
                <w:color w:val="DDE6F0"/>
                <w:sz w:val="18"/>
              </w:rPr>
              <w:br/>
              <w:t>The prospectus as an institutional asset, not a brochure</w:t>
            </w:r>
          </w:p>
        </w:tc>
      </w:tr>
    </w:tbl>
    <w:p>
      <w:pPr>
        <w:spacing w:after="100"/>
      </w:pPr>
      <w:r>
        <w:t>The LSSE Digital Prospectus should become the School’s primary recruitment, positioning and conversion asset. It must do more than list programmes. It must explain why LSSE exists, how its academic model works, how learners and organisations can engage, and why LSSE is relevant to the future of social enterprise, sustainable economics, ESG execution and mission-led leadership.</w:t>
      </w:r>
    </w:p>
    <w:p>
      <w:pPr>
        <w:spacing w:after="100"/>
      </w:pPr>
      <w:r>
        <w:t>A Tier-1 prospectus should create confidence before asking for commitment. It should demonstrate institutional seriousness, programme clarity, practical relevance and credible progression. It should also operate as a lead conversion tool that moves visitors from passive interest to profile creation, application, certification enquiry, society membership or executive education conversation.</w:t>
      </w:r>
    </w:p>
    <w:tbl>
      <w:tblPr>
        <w:tblStyle w:val="TableGrid"/>
        <w:tblW w:type="auto" w:w="0"/>
        <w:jc w:val="center"/>
        <w:tblLook w:firstColumn="1" w:firstRow="1" w:lastColumn="0" w:lastRow="0" w:noHBand="0" w:noVBand="1" w:val="04A0"/>
      </w:tblPr>
      <w:tblGrid>
        <w:gridCol w:w="10368"/>
      </w:tblGrid>
      <w:tr>
        <w:tc>
          <w:tcPr>
            <w:tcW w:type="dxa" w:w="10368"/>
            <w:vAlign w:val="top"/>
            <w:shd w:fill="F8F3E7"/>
          </w:tcPr>
          <w:p>
            <w:pPr>
              <w:spacing w:after="120" w:before="120"/>
            </w:pPr>
            <w:r>
              <w:rPr>
                <w:rFonts w:ascii="Arial" w:hAnsi="Arial"/>
                <w:b/>
                <w:color w:val="0B1F3A"/>
                <w:sz w:val="21"/>
              </w:rPr>
              <w:t>Core proposition</w:t>
              <w:br/>
            </w:r>
            <w:r>
              <w:rPr>
                <w:rFonts w:ascii="Arial" w:hAnsi="Arial"/>
                <w:color w:val="1F2937"/>
                <w:sz w:val="18"/>
              </w:rPr>
              <w:t>LSSE is a specialist institution for social enterprise, sustainable economics, ESG execution and institutional leadership, combining serious learning, applied capability, professional recognition and a wider community of practice.</w:t>
            </w:r>
          </w:p>
        </w:tc>
      </w:tr>
    </w:tbl>
    <w:p>
      <w:pPr>
        <w:pStyle w:val="Heading2"/>
      </w:pPr>
      <w:r>
        <w:t>What this system must achieve</w:t>
      </w:r>
    </w:p>
    <w:p>
      <w:pPr>
        <w:pStyle w:val="ListBullet"/>
      </w:pPr>
      <w:r>
        <w:t>Position LSSE as a serious global institution rather than a course vendor.</w:t>
      </w:r>
    </w:p>
    <w:p>
      <w:pPr>
        <w:pStyle w:val="ListBullet"/>
      </w:pPr>
      <w:r>
        <w:t>Clarify the four learning formats: Short Courses, Certificate Programmes, Online Courses and Executive Education.</w:t>
      </w:r>
    </w:p>
    <w:p>
      <w:pPr>
        <w:pStyle w:val="ListBullet"/>
      </w:pPr>
      <w:r>
        <w:t>Present ESG Programmes as practical capability pathways for the UK and international market.</w:t>
      </w:r>
    </w:p>
    <w:p>
      <w:pPr>
        <w:pStyle w:val="ListBullet"/>
      </w:pPr>
      <w:r>
        <w:t>Position Social Entrepreneur Certification as an evidence-led recognition framework.</w:t>
      </w:r>
    </w:p>
    <w:p>
      <w:pPr>
        <w:pStyle w:val="ListBullet"/>
      </w:pPr>
      <w:r>
        <w:t>Convert prospectus requests into qualified leads and structured admissions action.</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BRAND STRATEGY</w:t>
              <w:br/>
            </w:r>
            <w:r>
              <w:rPr>
                <w:rFonts w:ascii="Arial" w:hAnsi="Arial"/>
                <w:b/>
                <w:color w:val="FFFFFF"/>
                <w:sz w:val="36"/>
              </w:rPr>
              <w:t>2. Institutional Positioning</w:t>
            </w:r>
            <w:r>
              <w:rPr>
                <w:rFonts w:ascii="Arial" w:hAnsi="Arial"/>
                <w:color w:val="DDE6F0"/>
                <w:sz w:val="18"/>
              </w:rPr>
              <w:br/>
              <w:t>Why LSSE, why now, and why this prospectus matters</w:t>
            </w:r>
          </w:p>
        </w:tc>
      </w:tr>
    </w:tbl>
    <w:p>
      <w:pPr>
        <w:spacing w:after="100"/>
      </w:pPr>
      <w:r>
        <w:t>The world is asking more of organisations and leaders. Funders expect evidence. Communities expect accountability. Boards expect governance. Institutions expect ESG credibility. Social entrepreneurs must combine purpose with financial discipline, operational competence and measurable contribution. These expectations require education that is serious, structured and capable of translating purpose into practice.</w:t>
      </w:r>
    </w:p>
    <w:p>
      <w:pPr>
        <w:spacing w:after="100"/>
      </w:pPr>
      <w:r>
        <w:t>LSSE occupies a distinctive position in this environment. It is not a generic online course provider and not a conventional business school. It is a specialist institution focused on the intersection of social enterprise, sustainable economics, ESG practice, organisational development, leadership and public value.</w:t>
      </w:r>
    </w:p>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Learning architecture</w:t>
            </w:r>
          </w:p>
        </w:tc>
        <w:tc>
          <w:tcPr>
            <w:tcW w:type="dxa" w:w="5184"/>
            <w:vAlign w:val="top"/>
          </w:tcPr>
          <w:p>
            <w:r/>
            <w:r>
              <w:rPr>
                <w:rFonts w:ascii="Arial" w:hAnsi="Arial"/>
                <w:b w:val="0"/>
                <w:color w:val="1F2937"/>
                <w:sz w:val="16"/>
              </w:rPr>
              <w:t>Short Courses, Certificate Programmes, Online Courses and Executive Education provide structured routes for different levels of learner responsibility.</w:t>
            </w:r>
          </w:p>
        </w:tc>
      </w:tr>
      <w:tr>
        <w:tc>
          <w:tcPr>
            <w:tcW w:type="dxa" w:w="5184"/>
            <w:vAlign w:val="top"/>
            <w:shd w:fill="F3F6FA"/>
          </w:tcPr>
          <w:p>
            <w:r/>
            <w:r>
              <w:rPr>
                <w:rFonts w:ascii="Arial" w:hAnsi="Arial"/>
                <w:b/>
                <w:color w:val="0B1F3A"/>
                <w:sz w:val="17"/>
              </w:rPr>
              <w:t>Capability platform</w:t>
            </w:r>
          </w:p>
        </w:tc>
        <w:tc>
          <w:tcPr>
            <w:tcW w:type="dxa" w:w="5184"/>
            <w:vAlign w:val="top"/>
          </w:tcPr>
          <w:p>
            <w:r/>
            <w:r>
              <w:rPr>
                <w:rFonts w:ascii="Arial" w:hAnsi="Arial"/>
                <w:b w:val="0"/>
                <w:color w:val="1F2937"/>
                <w:sz w:val="16"/>
              </w:rPr>
              <w:t>ESG Programmes and the ESG Project Lab support practical execution, donor readiness, reporting and institutional delivery.</w:t>
            </w:r>
          </w:p>
        </w:tc>
      </w:tr>
      <w:tr>
        <w:tc>
          <w:tcPr>
            <w:tcW w:type="dxa" w:w="5184"/>
            <w:vAlign w:val="top"/>
            <w:shd w:fill="F3F6FA"/>
          </w:tcPr>
          <w:p>
            <w:r/>
            <w:r>
              <w:rPr>
                <w:rFonts w:ascii="Arial" w:hAnsi="Arial"/>
                <w:b/>
                <w:color w:val="0B1F3A"/>
                <w:sz w:val="17"/>
              </w:rPr>
              <w:t>Recognition platform</w:t>
            </w:r>
          </w:p>
        </w:tc>
        <w:tc>
          <w:tcPr>
            <w:tcW w:type="dxa" w:w="5184"/>
            <w:vAlign w:val="top"/>
          </w:tcPr>
          <w:p>
            <w:r/>
            <w:r>
              <w:rPr>
                <w:rFonts w:ascii="Arial" w:hAnsi="Arial"/>
                <w:b w:val="0"/>
                <w:color w:val="1F2937"/>
                <w:sz w:val="16"/>
              </w:rPr>
              <w:t>Social Entrepreneur Certification creates an evidence-led professional recognition route for practitioners.</w:t>
            </w:r>
          </w:p>
        </w:tc>
      </w:tr>
      <w:tr>
        <w:tc>
          <w:tcPr>
            <w:tcW w:type="dxa" w:w="5184"/>
            <w:vAlign w:val="top"/>
            <w:shd w:fill="F3F6FA"/>
          </w:tcPr>
          <w:p>
            <w:r/>
            <w:r>
              <w:rPr>
                <w:rFonts w:ascii="Arial" w:hAnsi="Arial"/>
                <w:b/>
                <w:color w:val="0B1F3A"/>
                <w:sz w:val="17"/>
              </w:rPr>
              <w:t>Continuity platform</w:t>
            </w:r>
          </w:p>
        </w:tc>
        <w:tc>
          <w:tcPr>
            <w:tcW w:type="dxa" w:w="5184"/>
            <w:vAlign w:val="top"/>
          </w:tcPr>
          <w:p>
            <w:r/>
            <w:r>
              <w:rPr>
                <w:rFonts w:ascii="Arial" w:hAnsi="Arial"/>
                <w:b w:val="0"/>
                <w:color w:val="1F2937"/>
                <w:sz w:val="16"/>
              </w:rPr>
              <w:t>The LSSE Society of Social Entrepreneurs supports CPD, peer learning and long-term engagement.</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ADMISSIONS STRATEGY</w:t>
              <w:br/>
            </w:r>
            <w:r>
              <w:rPr>
                <w:rFonts w:ascii="Arial" w:hAnsi="Arial"/>
                <w:b/>
                <w:color w:val="FFFFFF"/>
                <w:sz w:val="36"/>
              </w:rPr>
              <w:t>3. Audience Architecture</w:t>
            </w:r>
            <w:r>
              <w:rPr>
                <w:rFonts w:ascii="Arial" w:hAnsi="Arial"/>
                <w:color w:val="DDE6F0"/>
                <w:sz w:val="18"/>
              </w:rPr>
              <w:br/>
              <w:t>Who the prospectus is designed to convert</w:t>
            </w:r>
          </w:p>
        </w:tc>
      </w:tr>
    </w:tbl>
    <w:p>
      <w:pPr>
        <w:spacing w:after="100"/>
      </w:pPr>
      <w:r>
        <w:t>The prospectus must speak to several audiences without becoming generic. The strongest structure is to organise content around user intent: learning, capability, recognition, executive development, institutional support and community.</w:t>
      </w:r>
    </w:p>
    <w:tbl>
      <w:tblPr>
        <w:tblStyle w:val="TableGrid"/>
        <w:tblW w:type="auto" w:w="0"/>
        <w:jc w:val="center"/>
        <w:tblLook w:firstColumn="1" w:firstRow="1" w:lastColumn="0" w:lastRow="0" w:noHBand="0" w:noVBand="1" w:val="04A0"/>
      </w:tblPr>
      <w:tblGrid>
        <w:gridCol w:w="3456"/>
        <w:gridCol w:w="3456"/>
        <w:gridCol w:w="3456"/>
      </w:tblGrid>
      <w:tr>
        <w:tc>
          <w:tcPr>
            <w:tcW w:type="dxa" w:w="3456"/>
            <w:vAlign w:val="top"/>
            <w:shd w:fill="0B1F3A"/>
          </w:tcPr>
          <w:p>
            <w:r/>
            <w:r>
              <w:rPr>
                <w:rFonts w:ascii="Arial" w:hAnsi="Arial"/>
                <w:b/>
                <w:color w:val="FFFFFF"/>
                <w:sz w:val="16"/>
              </w:rPr>
              <w:t>Audience</w:t>
            </w:r>
          </w:p>
        </w:tc>
        <w:tc>
          <w:tcPr>
            <w:tcW w:type="dxa" w:w="3456"/>
            <w:vAlign w:val="top"/>
            <w:shd w:fill="0B1F3A"/>
          </w:tcPr>
          <w:p>
            <w:r/>
            <w:r>
              <w:rPr>
                <w:rFonts w:ascii="Arial" w:hAnsi="Arial"/>
                <w:b/>
                <w:color w:val="FFFFFF"/>
                <w:sz w:val="16"/>
              </w:rPr>
              <w:t>Primary Need</w:t>
            </w:r>
          </w:p>
        </w:tc>
        <w:tc>
          <w:tcPr>
            <w:tcW w:type="dxa" w:w="3456"/>
            <w:vAlign w:val="top"/>
            <w:shd w:fill="0B1F3A"/>
          </w:tcPr>
          <w:p>
            <w:r/>
            <w:r>
              <w:rPr>
                <w:rFonts w:ascii="Arial" w:hAnsi="Arial"/>
                <w:b/>
                <w:color w:val="FFFFFF"/>
                <w:sz w:val="16"/>
              </w:rPr>
              <w:t>Likely Conversion Route</w:t>
            </w:r>
          </w:p>
        </w:tc>
      </w:tr>
      <w:tr>
        <w:tc>
          <w:tcPr>
            <w:tcW w:type="dxa" w:w="3456"/>
            <w:vAlign w:val="top"/>
          </w:tcPr>
          <w:p>
            <w:r/>
            <w:r>
              <w:rPr>
                <w:rFonts w:ascii="Arial" w:hAnsi="Arial"/>
                <w:b w:val="0"/>
                <w:color w:val="1F2937"/>
                <w:sz w:val="16"/>
              </w:rPr>
              <w:t>Prospective learners</w:t>
            </w:r>
          </w:p>
        </w:tc>
        <w:tc>
          <w:tcPr>
            <w:tcW w:type="dxa" w:w="3456"/>
            <w:vAlign w:val="top"/>
          </w:tcPr>
          <w:p>
            <w:r/>
            <w:r>
              <w:rPr>
                <w:rFonts w:ascii="Arial" w:hAnsi="Arial"/>
                <w:b w:val="0"/>
                <w:color w:val="1F2937"/>
                <w:sz w:val="16"/>
              </w:rPr>
              <w:t>Study options, fees, flexibility and outcomes</w:t>
            </w:r>
          </w:p>
        </w:tc>
        <w:tc>
          <w:tcPr>
            <w:tcW w:type="dxa" w:w="3456"/>
            <w:vAlign w:val="top"/>
          </w:tcPr>
          <w:p>
            <w:r/>
            <w:r>
              <w:rPr>
                <w:rFonts w:ascii="Arial" w:hAnsi="Arial"/>
                <w:b w:val="0"/>
                <w:color w:val="1F2937"/>
                <w:sz w:val="16"/>
              </w:rPr>
              <w:t>Short Courses, Certificate Programmes, Online Courses</w:t>
            </w:r>
          </w:p>
        </w:tc>
      </w:tr>
      <w:tr>
        <w:tc>
          <w:tcPr>
            <w:tcW w:type="dxa" w:w="3456"/>
            <w:vAlign w:val="top"/>
          </w:tcPr>
          <w:p>
            <w:r/>
            <w:r>
              <w:rPr>
                <w:rFonts w:ascii="Arial" w:hAnsi="Arial"/>
                <w:b w:val="0"/>
                <w:color w:val="1F2937"/>
                <w:sz w:val="16"/>
              </w:rPr>
              <w:t>Founders and social entrepreneurs</w:t>
            </w:r>
          </w:p>
        </w:tc>
        <w:tc>
          <w:tcPr>
            <w:tcW w:type="dxa" w:w="3456"/>
            <w:vAlign w:val="top"/>
          </w:tcPr>
          <w:p>
            <w:r/>
            <w:r>
              <w:rPr>
                <w:rFonts w:ascii="Arial" w:hAnsi="Arial"/>
                <w:b w:val="0"/>
                <w:color w:val="1F2937"/>
                <w:sz w:val="16"/>
              </w:rPr>
              <w:t>Capability, credibility and recognition</w:t>
            </w:r>
          </w:p>
        </w:tc>
        <w:tc>
          <w:tcPr>
            <w:tcW w:type="dxa" w:w="3456"/>
            <w:vAlign w:val="top"/>
          </w:tcPr>
          <w:p>
            <w:r/>
            <w:r>
              <w:rPr>
                <w:rFonts w:ascii="Arial" w:hAnsi="Arial"/>
                <w:b w:val="0"/>
                <w:color w:val="1F2937"/>
                <w:sz w:val="16"/>
              </w:rPr>
              <w:t>ESG Programmes, Certification, Society</w:t>
            </w:r>
          </w:p>
        </w:tc>
      </w:tr>
      <w:tr>
        <w:tc>
          <w:tcPr>
            <w:tcW w:type="dxa" w:w="3456"/>
            <w:vAlign w:val="top"/>
          </w:tcPr>
          <w:p>
            <w:r/>
            <w:r>
              <w:rPr>
                <w:rFonts w:ascii="Arial" w:hAnsi="Arial"/>
                <w:b w:val="0"/>
                <w:color w:val="1F2937"/>
                <w:sz w:val="16"/>
              </w:rPr>
              <w:t>Charities, NGOs and CICs</w:t>
            </w:r>
          </w:p>
        </w:tc>
        <w:tc>
          <w:tcPr>
            <w:tcW w:type="dxa" w:w="3456"/>
            <w:vAlign w:val="top"/>
          </w:tcPr>
          <w:p>
            <w:r/>
            <w:r>
              <w:rPr>
                <w:rFonts w:ascii="Arial" w:hAnsi="Arial"/>
                <w:b w:val="0"/>
                <w:color w:val="1F2937"/>
                <w:sz w:val="16"/>
              </w:rPr>
              <w:t>Fundraising, impact reporting and project readiness</w:t>
            </w:r>
          </w:p>
        </w:tc>
        <w:tc>
          <w:tcPr>
            <w:tcW w:type="dxa" w:w="3456"/>
            <w:vAlign w:val="top"/>
          </w:tcPr>
          <w:p>
            <w:r/>
            <w:r>
              <w:rPr>
                <w:rFonts w:ascii="Arial" w:hAnsi="Arial"/>
                <w:b w:val="0"/>
                <w:color w:val="1F2937"/>
                <w:sz w:val="16"/>
              </w:rPr>
              <w:t>ESG Fundraising, Project Lab, Impact Reporting</w:t>
            </w:r>
          </w:p>
        </w:tc>
      </w:tr>
      <w:tr>
        <w:tc>
          <w:tcPr>
            <w:tcW w:type="dxa" w:w="3456"/>
            <w:vAlign w:val="top"/>
          </w:tcPr>
          <w:p>
            <w:r/>
            <w:r>
              <w:rPr>
                <w:rFonts w:ascii="Arial" w:hAnsi="Arial"/>
                <w:b w:val="0"/>
                <w:color w:val="1F2937"/>
                <w:sz w:val="16"/>
              </w:rPr>
              <w:t>Senior leaders and trustees</w:t>
            </w:r>
          </w:p>
        </w:tc>
        <w:tc>
          <w:tcPr>
            <w:tcW w:type="dxa" w:w="3456"/>
            <w:vAlign w:val="top"/>
          </w:tcPr>
          <w:p>
            <w:r/>
            <w:r>
              <w:rPr>
                <w:rFonts w:ascii="Arial" w:hAnsi="Arial"/>
                <w:b w:val="0"/>
                <w:color w:val="1F2937"/>
                <w:sz w:val="16"/>
              </w:rPr>
              <w:t>Leadership, governance and ESG strategy</w:t>
            </w:r>
          </w:p>
        </w:tc>
        <w:tc>
          <w:tcPr>
            <w:tcW w:type="dxa" w:w="3456"/>
            <w:vAlign w:val="top"/>
          </w:tcPr>
          <w:p>
            <w:r/>
            <w:r>
              <w:rPr>
                <w:rFonts w:ascii="Arial" w:hAnsi="Arial"/>
                <w:b w:val="0"/>
                <w:color w:val="1F2937"/>
                <w:sz w:val="16"/>
              </w:rPr>
              <w:t>Executive Education and ESG Leadership Fellowship</w:t>
            </w:r>
          </w:p>
        </w:tc>
      </w:tr>
      <w:tr>
        <w:tc>
          <w:tcPr>
            <w:tcW w:type="dxa" w:w="3456"/>
            <w:vAlign w:val="top"/>
          </w:tcPr>
          <w:p>
            <w:r/>
            <w:r>
              <w:rPr>
                <w:rFonts w:ascii="Arial" w:hAnsi="Arial"/>
                <w:b w:val="0"/>
                <w:color w:val="1F2937"/>
                <w:sz w:val="16"/>
              </w:rPr>
              <w:t>Organisations and institutions</w:t>
            </w:r>
          </w:p>
        </w:tc>
        <w:tc>
          <w:tcPr>
            <w:tcW w:type="dxa" w:w="3456"/>
            <w:vAlign w:val="top"/>
          </w:tcPr>
          <w:p>
            <w:r/>
            <w:r>
              <w:rPr>
                <w:rFonts w:ascii="Arial" w:hAnsi="Arial"/>
                <w:b w:val="0"/>
                <w:color w:val="1F2937"/>
                <w:sz w:val="16"/>
              </w:rPr>
              <w:t>Team capability and bespoke learning</w:t>
            </w:r>
          </w:p>
        </w:tc>
        <w:tc>
          <w:tcPr>
            <w:tcW w:type="dxa" w:w="3456"/>
            <w:vAlign w:val="top"/>
          </w:tcPr>
          <w:p>
            <w:r/>
            <w:r>
              <w:rPr>
                <w:rFonts w:ascii="Arial" w:hAnsi="Arial"/>
                <w:b w:val="0"/>
                <w:color w:val="1F2937"/>
                <w:sz w:val="16"/>
              </w:rPr>
              <w:t>Corporate workshops, cohorts and project support</w:t>
            </w:r>
          </w:p>
        </w:tc>
      </w:tr>
    </w:tbl>
    <w:p>
      <w:pPr>
        <w:pStyle w:val="Heading2"/>
      </w:pPr>
      <w:r>
        <w:t>Implication for the funnel</w:t>
      </w:r>
    </w:p>
    <w:p>
      <w:pPr>
        <w:spacing w:after="100"/>
      </w:pPr>
      <w:r>
        <w:t>The form and follow-up process should never treat all prospectus leads the same. Each lead should be segmented by interest, timeline, geography, experience and intended route so that admissions can respond with precision.</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EDITORIAL DESIGN</w:t>
              <w:br/>
            </w:r>
            <w:r>
              <w:rPr>
                <w:rFonts w:ascii="Arial" w:hAnsi="Arial"/>
                <w:b/>
                <w:color w:val="FFFFFF"/>
                <w:sz w:val="36"/>
              </w:rPr>
              <w:t>4. Prospectus Design Principles</w:t>
            </w:r>
            <w:r>
              <w:rPr>
                <w:rFonts w:ascii="Arial" w:hAnsi="Arial"/>
                <w:color w:val="DDE6F0"/>
                <w:sz w:val="18"/>
              </w:rPr>
              <w:br/>
              <w:t>Harvard-style clarity with Brookfield-style discipline</w:t>
            </w:r>
          </w:p>
        </w:tc>
      </w:tr>
    </w:tbl>
    <w:p>
      <w:pPr>
        <w:spacing w:after="100"/>
      </w:pPr>
      <w:r>
        <w:t>The prospectus should feel like a serious institutional document: confident, uncluttered, evidence-led and easy to navigate. It should use a restrained design system and strong editorial hierarchy rather than colourful brochure decoration.</w:t>
      </w:r>
    </w:p>
    <w:p>
      <w:pPr>
        <w:pStyle w:val="ListBullet"/>
      </w:pPr>
      <w:r>
        <w:t>Lead with institutional purpose before programme detail.</w:t>
      </w:r>
    </w:p>
    <w:p>
      <w:pPr>
        <w:pStyle w:val="ListBullet"/>
      </w:pPr>
      <w:r>
        <w:t>Use clear section openers that explain why each pathway matters.</w:t>
      </w:r>
    </w:p>
    <w:p>
      <w:pPr>
        <w:pStyle w:val="ListBullet"/>
      </w:pPr>
      <w:r>
        <w:t>Balance academic seriousness with commercial clarity.</w:t>
      </w:r>
    </w:p>
    <w:p>
      <w:pPr>
        <w:pStyle w:val="ListBullet"/>
      </w:pPr>
      <w:r>
        <w:t>Avoid excessive promotional language and unsupported claims.</w:t>
      </w:r>
    </w:p>
    <w:p>
      <w:pPr>
        <w:pStyle w:val="ListBullet"/>
      </w:pPr>
      <w:r>
        <w:t>Use tables and structured comparisons to help users make decisions.</w:t>
      </w:r>
    </w:p>
    <w:p>
      <w:pPr>
        <w:pStyle w:val="ListBullet"/>
      </w:pPr>
      <w:r>
        <w:t>Give every section a clear next step.</w:t>
      </w:r>
    </w:p>
    <w:p>
      <w:pPr>
        <w:pStyle w:val="Heading2"/>
      </w:pPr>
      <w:r>
        <w:t>Visual rhythm</w:t>
      </w:r>
    </w:p>
    <w:p>
      <w:pPr>
        <w:spacing w:after="100"/>
      </w:pPr>
      <w:r>
        <w:t>The recommended rhythm is: strong section opener, strategic explanation, pathway table, programme or benefit detail, CTA. This creates a prospectus that is readable, navigable and conversion-ready.</w:t>
      </w:r>
    </w:p>
    <w:tbl>
      <w:tblPr>
        <w:tblStyle w:val="TableGrid"/>
        <w:tblW w:type="auto" w:w="0"/>
        <w:jc w:val="center"/>
        <w:tblLook w:firstColumn="1" w:firstRow="1" w:lastColumn="0" w:lastRow="0" w:noHBand="0" w:noVBand="1" w:val="04A0"/>
      </w:tblPr>
      <w:tblGrid>
        <w:gridCol w:w="10368"/>
      </w:tblGrid>
      <w:tr>
        <w:tc>
          <w:tcPr>
            <w:tcW w:type="dxa" w:w="10368"/>
            <w:vAlign w:val="top"/>
            <w:shd w:fill="F3F6FA"/>
          </w:tcPr>
          <w:p>
            <w:pPr>
              <w:spacing w:after="120" w:before="120"/>
            </w:pPr>
            <w:r>
              <w:rPr>
                <w:rFonts w:ascii="Arial" w:hAnsi="Arial"/>
                <w:b/>
                <w:color w:val="0B1F3A"/>
                <w:sz w:val="21"/>
              </w:rPr>
              <w:t>Design discipline</w:t>
              <w:br/>
            </w:r>
            <w:r>
              <w:rPr>
                <w:rFonts w:ascii="Arial" w:hAnsi="Arial"/>
                <w:color w:val="1F2937"/>
                <w:sz w:val="18"/>
              </w:rPr>
              <w:t>The strongest prospectus design will use institutional navy, restrained gold, soft grey backgrounds, generous margins, clean typography and editorial spreads.</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EDITORIAL STRUCTURE</w:t>
              <w:br/>
            </w:r>
            <w:r>
              <w:rPr>
                <w:rFonts w:ascii="Arial" w:hAnsi="Arial"/>
                <w:b/>
                <w:color w:val="FFFFFF"/>
                <w:sz w:val="36"/>
              </w:rPr>
              <w:t>5. Full Prospectus Editorial Plan</w:t>
            </w:r>
            <w:r>
              <w:rPr>
                <w:rFonts w:ascii="Arial" w:hAnsi="Arial"/>
                <w:color w:val="DDE6F0"/>
                <w:sz w:val="18"/>
              </w:rPr>
              <w:br/>
              <w:t>Recommended 40-page digital prospectus architecture</w:t>
            </w:r>
          </w:p>
        </w:tc>
      </w:tr>
    </w:tbl>
    <w:tbl>
      <w:tblPr>
        <w:tblStyle w:val="TableGrid"/>
        <w:tblW w:type="auto" w:w="0"/>
        <w:jc w:val="center"/>
        <w:tblLook w:firstColumn="1" w:firstRow="1" w:lastColumn="0" w:lastRow="0" w:noHBand="0" w:noVBand="1" w:val="04A0"/>
      </w:tblPr>
      <w:tblGrid>
        <w:gridCol w:w="3456"/>
        <w:gridCol w:w="3456"/>
        <w:gridCol w:w="3456"/>
      </w:tblGrid>
      <w:tr>
        <w:tc>
          <w:tcPr>
            <w:tcW w:type="dxa" w:w="3456"/>
            <w:vAlign w:val="top"/>
            <w:shd w:fill="0B1F3A"/>
          </w:tcPr>
          <w:p>
            <w:r/>
            <w:r>
              <w:rPr>
                <w:rFonts w:ascii="Arial" w:hAnsi="Arial"/>
                <w:b/>
                <w:color w:val="FFFFFF"/>
                <w:sz w:val="16"/>
              </w:rPr>
              <w:t>Pages</w:t>
            </w:r>
          </w:p>
        </w:tc>
        <w:tc>
          <w:tcPr>
            <w:tcW w:type="dxa" w:w="3456"/>
            <w:vAlign w:val="top"/>
            <w:shd w:fill="0B1F3A"/>
          </w:tcPr>
          <w:p>
            <w:r/>
            <w:r>
              <w:rPr>
                <w:rFonts w:ascii="Arial" w:hAnsi="Arial"/>
                <w:b/>
                <w:color w:val="FFFFFF"/>
                <w:sz w:val="16"/>
              </w:rPr>
              <w:t>Section</w:t>
            </w:r>
          </w:p>
        </w:tc>
        <w:tc>
          <w:tcPr>
            <w:tcW w:type="dxa" w:w="3456"/>
            <w:vAlign w:val="top"/>
            <w:shd w:fill="0B1F3A"/>
          </w:tcPr>
          <w:p>
            <w:r/>
            <w:r>
              <w:rPr>
                <w:rFonts w:ascii="Arial" w:hAnsi="Arial"/>
                <w:b/>
                <w:color w:val="FFFFFF"/>
                <w:sz w:val="16"/>
              </w:rPr>
              <w:t>Purpose</w:t>
            </w:r>
          </w:p>
        </w:tc>
      </w:tr>
      <w:tr>
        <w:tc>
          <w:tcPr>
            <w:tcW w:type="dxa" w:w="3456"/>
            <w:vAlign w:val="top"/>
          </w:tcPr>
          <w:p>
            <w:r/>
            <w:r>
              <w:rPr>
                <w:rFonts w:ascii="Arial" w:hAnsi="Arial"/>
                <w:b w:val="0"/>
                <w:color w:val="1F2937"/>
                <w:sz w:val="16"/>
              </w:rPr>
              <w:t>1</w:t>
            </w:r>
          </w:p>
        </w:tc>
        <w:tc>
          <w:tcPr>
            <w:tcW w:type="dxa" w:w="3456"/>
            <w:vAlign w:val="top"/>
          </w:tcPr>
          <w:p>
            <w:r/>
            <w:r>
              <w:rPr>
                <w:rFonts w:ascii="Arial" w:hAnsi="Arial"/>
                <w:b w:val="0"/>
                <w:color w:val="1F2937"/>
                <w:sz w:val="16"/>
              </w:rPr>
              <w:t>Cover</w:t>
            </w:r>
          </w:p>
        </w:tc>
        <w:tc>
          <w:tcPr>
            <w:tcW w:type="dxa" w:w="3456"/>
            <w:vAlign w:val="top"/>
          </w:tcPr>
          <w:p>
            <w:r/>
            <w:r>
              <w:rPr>
                <w:rFonts w:ascii="Arial" w:hAnsi="Arial"/>
                <w:b w:val="0"/>
                <w:color w:val="1F2937"/>
                <w:sz w:val="16"/>
              </w:rPr>
              <w:t>Institutional entry and brand authority</w:t>
            </w:r>
          </w:p>
        </w:tc>
      </w:tr>
      <w:tr>
        <w:tc>
          <w:tcPr>
            <w:tcW w:type="dxa" w:w="3456"/>
            <w:vAlign w:val="top"/>
          </w:tcPr>
          <w:p>
            <w:r/>
            <w:r>
              <w:rPr>
                <w:rFonts w:ascii="Arial" w:hAnsi="Arial"/>
                <w:b w:val="0"/>
                <w:color w:val="1F2937"/>
                <w:sz w:val="16"/>
              </w:rPr>
              <w:t>2</w:t>
            </w:r>
          </w:p>
        </w:tc>
        <w:tc>
          <w:tcPr>
            <w:tcW w:type="dxa" w:w="3456"/>
            <w:vAlign w:val="top"/>
          </w:tcPr>
          <w:p>
            <w:r/>
            <w:r>
              <w:rPr>
                <w:rFonts w:ascii="Arial" w:hAnsi="Arial"/>
                <w:b w:val="0"/>
                <w:color w:val="1F2937"/>
                <w:sz w:val="16"/>
              </w:rPr>
              <w:t>Welcome</w:t>
            </w:r>
          </w:p>
        </w:tc>
        <w:tc>
          <w:tcPr>
            <w:tcW w:type="dxa" w:w="3456"/>
            <w:vAlign w:val="top"/>
          </w:tcPr>
          <w:p>
            <w:r/>
            <w:r>
              <w:rPr>
                <w:rFonts w:ascii="Arial" w:hAnsi="Arial"/>
                <w:b w:val="0"/>
                <w:color w:val="1F2937"/>
                <w:sz w:val="16"/>
              </w:rPr>
              <w:t>Short message from LSSE and proposition</w:t>
            </w:r>
          </w:p>
        </w:tc>
      </w:tr>
      <w:tr>
        <w:tc>
          <w:tcPr>
            <w:tcW w:type="dxa" w:w="3456"/>
            <w:vAlign w:val="top"/>
          </w:tcPr>
          <w:p>
            <w:r/>
            <w:r>
              <w:rPr>
                <w:rFonts w:ascii="Arial" w:hAnsi="Arial"/>
                <w:b w:val="0"/>
                <w:color w:val="1F2937"/>
                <w:sz w:val="16"/>
              </w:rPr>
              <w:t>3</w:t>
            </w:r>
          </w:p>
        </w:tc>
        <w:tc>
          <w:tcPr>
            <w:tcW w:type="dxa" w:w="3456"/>
            <w:vAlign w:val="top"/>
          </w:tcPr>
          <w:p>
            <w:r/>
            <w:r>
              <w:rPr>
                <w:rFonts w:ascii="Arial" w:hAnsi="Arial"/>
                <w:b w:val="0"/>
                <w:color w:val="1F2937"/>
                <w:sz w:val="16"/>
              </w:rPr>
              <w:t>Contents</w:t>
            </w:r>
          </w:p>
        </w:tc>
        <w:tc>
          <w:tcPr>
            <w:tcW w:type="dxa" w:w="3456"/>
            <w:vAlign w:val="top"/>
          </w:tcPr>
          <w:p>
            <w:r/>
            <w:r>
              <w:rPr>
                <w:rFonts w:ascii="Arial" w:hAnsi="Arial"/>
                <w:b w:val="0"/>
                <w:color w:val="1F2937"/>
                <w:sz w:val="16"/>
              </w:rPr>
              <w:t>Simple navigation</w:t>
            </w:r>
          </w:p>
        </w:tc>
      </w:tr>
      <w:tr>
        <w:tc>
          <w:tcPr>
            <w:tcW w:type="dxa" w:w="3456"/>
            <w:vAlign w:val="top"/>
          </w:tcPr>
          <w:p>
            <w:r/>
            <w:r>
              <w:rPr>
                <w:rFonts w:ascii="Arial" w:hAnsi="Arial"/>
                <w:b w:val="0"/>
                <w:color w:val="1F2937"/>
                <w:sz w:val="16"/>
              </w:rPr>
              <w:t>4-5</w:t>
            </w:r>
          </w:p>
        </w:tc>
        <w:tc>
          <w:tcPr>
            <w:tcW w:type="dxa" w:w="3456"/>
            <w:vAlign w:val="top"/>
          </w:tcPr>
          <w:p>
            <w:r/>
            <w:r>
              <w:rPr>
                <w:rFonts w:ascii="Arial" w:hAnsi="Arial"/>
                <w:b w:val="0"/>
                <w:color w:val="1F2937"/>
                <w:sz w:val="16"/>
              </w:rPr>
              <w:t>Why LSSE Exists</w:t>
            </w:r>
          </w:p>
        </w:tc>
        <w:tc>
          <w:tcPr>
            <w:tcW w:type="dxa" w:w="3456"/>
            <w:vAlign w:val="top"/>
          </w:tcPr>
          <w:p>
            <w:r/>
            <w:r>
              <w:rPr>
                <w:rFonts w:ascii="Arial" w:hAnsi="Arial"/>
                <w:b w:val="0"/>
                <w:color w:val="1F2937"/>
                <w:sz w:val="16"/>
              </w:rPr>
              <w:t>Institutional rationale and market need</w:t>
            </w:r>
          </w:p>
        </w:tc>
      </w:tr>
      <w:tr>
        <w:tc>
          <w:tcPr>
            <w:tcW w:type="dxa" w:w="3456"/>
            <w:vAlign w:val="top"/>
          </w:tcPr>
          <w:p>
            <w:r/>
            <w:r>
              <w:rPr>
                <w:rFonts w:ascii="Arial" w:hAnsi="Arial"/>
                <w:b w:val="0"/>
                <w:color w:val="1F2937"/>
                <w:sz w:val="16"/>
              </w:rPr>
              <w:t>6-7</w:t>
            </w:r>
          </w:p>
        </w:tc>
        <w:tc>
          <w:tcPr>
            <w:tcW w:type="dxa" w:w="3456"/>
            <w:vAlign w:val="top"/>
          </w:tcPr>
          <w:p>
            <w:r/>
            <w:r>
              <w:rPr>
                <w:rFonts w:ascii="Arial" w:hAnsi="Arial"/>
                <w:b w:val="0"/>
                <w:color w:val="1F2937"/>
                <w:sz w:val="16"/>
              </w:rPr>
              <w:t>Learning Architecture</w:t>
            </w:r>
          </w:p>
        </w:tc>
        <w:tc>
          <w:tcPr>
            <w:tcW w:type="dxa" w:w="3456"/>
            <w:vAlign w:val="top"/>
          </w:tcPr>
          <w:p>
            <w:r/>
            <w:r>
              <w:rPr>
                <w:rFonts w:ascii="Arial" w:hAnsi="Arial"/>
                <w:b w:val="0"/>
                <w:color w:val="1F2937"/>
                <w:sz w:val="16"/>
              </w:rPr>
              <w:t>Short, Certificate, Online and Executive Education</w:t>
            </w:r>
          </w:p>
        </w:tc>
      </w:tr>
      <w:tr>
        <w:tc>
          <w:tcPr>
            <w:tcW w:type="dxa" w:w="3456"/>
            <w:vAlign w:val="top"/>
          </w:tcPr>
          <w:p>
            <w:r/>
            <w:r>
              <w:rPr>
                <w:rFonts w:ascii="Arial" w:hAnsi="Arial"/>
                <w:b w:val="0"/>
                <w:color w:val="1F2937"/>
                <w:sz w:val="16"/>
              </w:rPr>
              <w:t>8-9</w:t>
            </w:r>
          </w:p>
        </w:tc>
        <w:tc>
          <w:tcPr>
            <w:tcW w:type="dxa" w:w="3456"/>
            <w:vAlign w:val="top"/>
          </w:tcPr>
          <w:p>
            <w:r/>
            <w:r>
              <w:rPr>
                <w:rFonts w:ascii="Arial" w:hAnsi="Arial"/>
                <w:b w:val="0"/>
                <w:color w:val="1F2937"/>
                <w:sz w:val="16"/>
              </w:rPr>
              <w:t>Areas of Study</w:t>
            </w:r>
          </w:p>
        </w:tc>
        <w:tc>
          <w:tcPr>
            <w:tcW w:type="dxa" w:w="3456"/>
            <w:vAlign w:val="top"/>
          </w:tcPr>
          <w:p>
            <w:r/>
            <w:r>
              <w:rPr>
                <w:rFonts w:ascii="Arial" w:hAnsi="Arial"/>
                <w:b w:val="0"/>
                <w:color w:val="1F2937"/>
                <w:sz w:val="16"/>
              </w:rPr>
              <w:t>Academic and professional themes</w:t>
            </w:r>
          </w:p>
        </w:tc>
      </w:tr>
      <w:tr>
        <w:tc>
          <w:tcPr>
            <w:tcW w:type="dxa" w:w="3456"/>
            <w:vAlign w:val="top"/>
          </w:tcPr>
          <w:p>
            <w:r/>
            <w:r>
              <w:rPr>
                <w:rFonts w:ascii="Arial" w:hAnsi="Arial"/>
                <w:b w:val="0"/>
                <w:color w:val="1F2937"/>
                <w:sz w:val="16"/>
              </w:rPr>
              <w:t>10-13</w:t>
            </w:r>
          </w:p>
        </w:tc>
        <w:tc>
          <w:tcPr>
            <w:tcW w:type="dxa" w:w="3456"/>
            <w:vAlign w:val="top"/>
          </w:tcPr>
          <w:p>
            <w:r/>
            <w:r>
              <w:rPr>
                <w:rFonts w:ascii="Arial" w:hAnsi="Arial"/>
                <w:b w:val="0"/>
                <w:color w:val="1F2937"/>
                <w:sz w:val="16"/>
              </w:rPr>
              <w:t>ESG Programmes</w:t>
            </w:r>
          </w:p>
        </w:tc>
        <w:tc>
          <w:tcPr>
            <w:tcW w:type="dxa" w:w="3456"/>
            <w:vAlign w:val="top"/>
          </w:tcPr>
          <w:p>
            <w:r/>
            <w:r>
              <w:rPr>
                <w:rFonts w:ascii="Arial" w:hAnsi="Arial"/>
                <w:b w:val="0"/>
                <w:color w:val="1F2937"/>
                <w:sz w:val="16"/>
              </w:rPr>
              <w:t>Capability and course overview</w:t>
            </w:r>
          </w:p>
        </w:tc>
      </w:tr>
      <w:tr>
        <w:tc>
          <w:tcPr>
            <w:tcW w:type="dxa" w:w="3456"/>
            <w:vAlign w:val="top"/>
          </w:tcPr>
          <w:p>
            <w:r/>
            <w:r>
              <w:rPr>
                <w:rFonts w:ascii="Arial" w:hAnsi="Arial"/>
                <w:b w:val="0"/>
                <w:color w:val="1F2937"/>
                <w:sz w:val="16"/>
              </w:rPr>
              <w:t>14-17</w:t>
            </w:r>
          </w:p>
        </w:tc>
        <w:tc>
          <w:tcPr>
            <w:tcW w:type="dxa" w:w="3456"/>
            <w:vAlign w:val="top"/>
          </w:tcPr>
          <w:p>
            <w:r/>
            <w:r>
              <w:rPr>
                <w:rFonts w:ascii="Arial" w:hAnsi="Arial"/>
                <w:b w:val="0"/>
                <w:color w:val="1F2937"/>
                <w:sz w:val="16"/>
              </w:rPr>
              <w:t>Certification</w:t>
            </w:r>
          </w:p>
        </w:tc>
        <w:tc>
          <w:tcPr>
            <w:tcW w:type="dxa" w:w="3456"/>
            <w:vAlign w:val="top"/>
          </w:tcPr>
          <w:p>
            <w:r/>
            <w:r>
              <w:rPr>
                <w:rFonts w:ascii="Arial" w:hAnsi="Arial"/>
                <w:b w:val="0"/>
                <w:color w:val="1F2937"/>
                <w:sz w:val="16"/>
              </w:rPr>
              <w:t>Professional recognition framework</w:t>
            </w:r>
          </w:p>
        </w:tc>
      </w:tr>
      <w:tr>
        <w:tc>
          <w:tcPr>
            <w:tcW w:type="dxa" w:w="3456"/>
            <w:vAlign w:val="top"/>
          </w:tcPr>
          <w:p>
            <w:r/>
            <w:r>
              <w:rPr>
                <w:rFonts w:ascii="Arial" w:hAnsi="Arial"/>
                <w:b w:val="0"/>
                <w:color w:val="1F2937"/>
                <w:sz w:val="16"/>
              </w:rPr>
              <w:t>18-20</w:t>
            </w:r>
          </w:p>
        </w:tc>
        <w:tc>
          <w:tcPr>
            <w:tcW w:type="dxa" w:w="3456"/>
            <w:vAlign w:val="top"/>
          </w:tcPr>
          <w:p>
            <w:r/>
            <w:r>
              <w:rPr>
                <w:rFonts w:ascii="Arial" w:hAnsi="Arial"/>
                <w:b w:val="0"/>
                <w:color w:val="1F2937"/>
                <w:sz w:val="16"/>
              </w:rPr>
              <w:t>LSSE Society</w:t>
            </w:r>
          </w:p>
        </w:tc>
        <w:tc>
          <w:tcPr>
            <w:tcW w:type="dxa" w:w="3456"/>
            <w:vAlign w:val="top"/>
          </w:tcPr>
          <w:p>
            <w:r/>
            <w:r>
              <w:rPr>
                <w:rFonts w:ascii="Arial" w:hAnsi="Arial"/>
                <w:b w:val="0"/>
                <w:color w:val="1F2937"/>
                <w:sz w:val="16"/>
              </w:rPr>
              <w:t>Membership and continuity</w:t>
            </w:r>
          </w:p>
        </w:tc>
      </w:tr>
      <w:tr>
        <w:tc>
          <w:tcPr>
            <w:tcW w:type="dxa" w:w="3456"/>
            <w:vAlign w:val="top"/>
          </w:tcPr>
          <w:p>
            <w:r/>
            <w:r>
              <w:rPr>
                <w:rFonts w:ascii="Arial" w:hAnsi="Arial"/>
                <w:b w:val="0"/>
                <w:color w:val="1F2937"/>
                <w:sz w:val="16"/>
              </w:rPr>
              <w:t>21-23</w:t>
            </w:r>
          </w:p>
        </w:tc>
        <w:tc>
          <w:tcPr>
            <w:tcW w:type="dxa" w:w="3456"/>
            <w:vAlign w:val="top"/>
          </w:tcPr>
          <w:p>
            <w:r/>
            <w:r>
              <w:rPr>
                <w:rFonts w:ascii="Arial" w:hAnsi="Arial"/>
                <w:b w:val="0"/>
                <w:color w:val="1F2937"/>
                <w:sz w:val="16"/>
              </w:rPr>
              <w:t>Project Lab</w:t>
            </w:r>
          </w:p>
        </w:tc>
        <w:tc>
          <w:tcPr>
            <w:tcW w:type="dxa" w:w="3456"/>
            <w:vAlign w:val="top"/>
          </w:tcPr>
          <w:p>
            <w:r/>
            <w:r>
              <w:rPr>
                <w:rFonts w:ascii="Arial" w:hAnsi="Arial"/>
                <w:b w:val="0"/>
                <w:color w:val="1F2937"/>
                <w:sz w:val="16"/>
              </w:rPr>
              <w:t>Applied support and donor readiness</w:t>
            </w:r>
          </w:p>
        </w:tc>
      </w:tr>
      <w:tr>
        <w:tc>
          <w:tcPr>
            <w:tcW w:type="dxa" w:w="3456"/>
            <w:vAlign w:val="top"/>
          </w:tcPr>
          <w:p>
            <w:r/>
            <w:r>
              <w:rPr>
                <w:rFonts w:ascii="Arial" w:hAnsi="Arial"/>
                <w:b w:val="0"/>
                <w:color w:val="1F2937"/>
                <w:sz w:val="16"/>
              </w:rPr>
              <w:t>24-26</w:t>
            </w:r>
          </w:p>
        </w:tc>
        <w:tc>
          <w:tcPr>
            <w:tcW w:type="dxa" w:w="3456"/>
            <w:vAlign w:val="top"/>
          </w:tcPr>
          <w:p>
            <w:r/>
            <w:r>
              <w:rPr>
                <w:rFonts w:ascii="Arial" w:hAnsi="Arial"/>
                <w:b w:val="0"/>
                <w:color w:val="1F2937"/>
                <w:sz w:val="16"/>
              </w:rPr>
              <w:t>Executive Education</w:t>
            </w:r>
          </w:p>
        </w:tc>
        <w:tc>
          <w:tcPr>
            <w:tcW w:type="dxa" w:w="3456"/>
            <w:vAlign w:val="top"/>
          </w:tcPr>
          <w:p>
            <w:r/>
            <w:r>
              <w:rPr>
                <w:rFonts w:ascii="Arial" w:hAnsi="Arial"/>
                <w:b w:val="0"/>
                <w:color w:val="1F2937"/>
                <w:sz w:val="16"/>
              </w:rPr>
              <w:t>Senior leadership and institutional programmes</w:t>
            </w:r>
          </w:p>
        </w:tc>
      </w:tr>
      <w:tr>
        <w:tc>
          <w:tcPr>
            <w:tcW w:type="dxa" w:w="3456"/>
            <w:vAlign w:val="top"/>
          </w:tcPr>
          <w:p>
            <w:r/>
            <w:r>
              <w:rPr>
                <w:rFonts w:ascii="Arial" w:hAnsi="Arial"/>
                <w:b w:val="0"/>
                <w:color w:val="1F2937"/>
                <w:sz w:val="16"/>
              </w:rPr>
              <w:t>27-30</w:t>
            </w:r>
          </w:p>
        </w:tc>
        <w:tc>
          <w:tcPr>
            <w:tcW w:type="dxa" w:w="3456"/>
            <w:vAlign w:val="top"/>
          </w:tcPr>
          <w:p>
            <w:r/>
            <w:r>
              <w:rPr>
                <w:rFonts w:ascii="Arial" w:hAnsi="Arial"/>
                <w:b w:val="0"/>
                <w:color w:val="1F2937"/>
                <w:sz w:val="16"/>
              </w:rPr>
              <w:t>Programme Details</w:t>
            </w:r>
          </w:p>
        </w:tc>
        <w:tc>
          <w:tcPr>
            <w:tcW w:type="dxa" w:w="3456"/>
            <w:vAlign w:val="top"/>
          </w:tcPr>
          <w:p>
            <w:r/>
            <w:r>
              <w:rPr>
                <w:rFonts w:ascii="Arial" w:hAnsi="Arial"/>
                <w:b w:val="0"/>
                <w:color w:val="1F2937"/>
                <w:sz w:val="16"/>
              </w:rPr>
              <w:t>Fees, duration, outcomes and benefits</w:t>
            </w:r>
          </w:p>
        </w:tc>
      </w:tr>
      <w:tr>
        <w:tc>
          <w:tcPr>
            <w:tcW w:type="dxa" w:w="3456"/>
            <w:vAlign w:val="top"/>
          </w:tcPr>
          <w:p>
            <w:r/>
            <w:r>
              <w:rPr>
                <w:rFonts w:ascii="Arial" w:hAnsi="Arial"/>
                <w:b w:val="0"/>
                <w:color w:val="1F2937"/>
                <w:sz w:val="16"/>
              </w:rPr>
              <w:t>31-34</w:t>
            </w:r>
          </w:p>
        </w:tc>
        <w:tc>
          <w:tcPr>
            <w:tcW w:type="dxa" w:w="3456"/>
            <w:vAlign w:val="top"/>
          </w:tcPr>
          <w:p>
            <w:r/>
            <w:r>
              <w:rPr>
                <w:rFonts w:ascii="Arial" w:hAnsi="Arial"/>
                <w:b w:val="0"/>
                <w:color w:val="1F2937"/>
                <w:sz w:val="16"/>
              </w:rPr>
              <w:t>Admissions and Registration</w:t>
            </w:r>
          </w:p>
        </w:tc>
        <w:tc>
          <w:tcPr>
            <w:tcW w:type="dxa" w:w="3456"/>
            <w:vAlign w:val="top"/>
          </w:tcPr>
          <w:p>
            <w:r/>
            <w:r>
              <w:rPr>
                <w:rFonts w:ascii="Arial" w:hAnsi="Arial"/>
                <w:b w:val="0"/>
                <w:color w:val="1F2937"/>
                <w:sz w:val="16"/>
              </w:rPr>
              <w:t>How to start and choose pathway</w:t>
            </w:r>
          </w:p>
        </w:tc>
      </w:tr>
      <w:tr>
        <w:tc>
          <w:tcPr>
            <w:tcW w:type="dxa" w:w="3456"/>
            <w:vAlign w:val="top"/>
          </w:tcPr>
          <w:p>
            <w:r/>
            <w:r>
              <w:rPr>
                <w:rFonts w:ascii="Arial" w:hAnsi="Arial"/>
                <w:b w:val="0"/>
                <w:color w:val="1F2937"/>
                <w:sz w:val="16"/>
              </w:rPr>
              <w:t>35-40</w:t>
            </w:r>
          </w:p>
        </w:tc>
        <w:tc>
          <w:tcPr>
            <w:tcW w:type="dxa" w:w="3456"/>
            <w:vAlign w:val="top"/>
          </w:tcPr>
          <w:p>
            <w:r/>
            <w:r>
              <w:rPr>
                <w:rFonts w:ascii="Arial" w:hAnsi="Arial"/>
                <w:b w:val="0"/>
                <w:color w:val="1F2937"/>
                <w:sz w:val="16"/>
              </w:rPr>
              <w:t>Contact, FAQs and governance</w:t>
            </w:r>
          </w:p>
        </w:tc>
        <w:tc>
          <w:tcPr>
            <w:tcW w:type="dxa" w:w="3456"/>
            <w:vAlign w:val="top"/>
          </w:tcPr>
          <w:p>
            <w:r/>
            <w:r>
              <w:rPr>
                <w:rFonts w:ascii="Arial" w:hAnsi="Arial"/>
                <w:b w:val="0"/>
                <w:color w:val="1F2937"/>
                <w:sz w:val="16"/>
              </w:rPr>
              <w:t>Trust, clarity and next steps</w:t>
            </w:r>
          </w:p>
        </w:tc>
      </w:tr>
    </w:tbl>
    <w:p>
      <w:pPr>
        <w:spacing w:after="100"/>
      </w:pPr>
      <w:r>
        <w:t>This plan is recommended for the public-facing PDF prospectus. It is separate from the website landing page, which should remain shorter and conversion-focused.</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PROGRAMME STRUCTURE</w:t>
              <w:br/>
            </w:r>
            <w:r>
              <w:rPr>
                <w:rFonts w:ascii="Arial" w:hAnsi="Arial"/>
                <w:b/>
                <w:color w:val="FFFFFF"/>
                <w:sz w:val="36"/>
              </w:rPr>
              <w:t>6. LSSE Learning Architecture</w:t>
            </w:r>
            <w:r>
              <w:rPr>
                <w:rFonts w:ascii="Arial" w:hAnsi="Arial"/>
                <w:color w:val="DDE6F0"/>
                <w:sz w:val="18"/>
              </w:rPr>
              <w:br/>
              <w:t>Four delivery formats, one coherent academic system</w:t>
            </w:r>
          </w:p>
        </w:tc>
      </w:tr>
    </w:tbl>
    <w:p>
      <w:pPr>
        <w:spacing w:after="100"/>
      </w:pPr>
      <w:r>
        <w:t>LSSE should present its programme portfolio through four equal learning formats. ESG and Social Entrepreneurship content then sits within those formats, rather than existing as a disconnected microsite.</w:t>
      </w:r>
    </w:p>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Short Courses</w:t>
            </w:r>
          </w:p>
        </w:tc>
        <w:tc>
          <w:tcPr>
            <w:tcW w:type="dxa" w:w="5184"/>
            <w:vAlign w:val="top"/>
          </w:tcPr>
          <w:p>
            <w:r/>
            <w:r>
              <w:rPr>
                <w:rFonts w:ascii="Arial" w:hAnsi="Arial"/>
                <w:b w:val="0"/>
                <w:color w:val="1F2937"/>
                <w:sz w:val="16"/>
              </w:rPr>
              <w:t>Focused learning for immediate relevance, combining clarity of concept with practical application.</w:t>
            </w:r>
          </w:p>
        </w:tc>
      </w:tr>
      <w:tr>
        <w:tc>
          <w:tcPr>
            <w:tcW w:type="dxa" w:w="5184"/>
            <w:vAlign w:val="top"/>
            <w:shd w:fill="F3F6FA"/>
          </w:tcPr>
          <w:p>
            <w:r/>
            <w:r>
              <w:rPr>
                <w:rFonts w:ascii="Arial" w:hAnsi="Arial"/>
                <w:b/>
                <w:color w:val="0B1F3A"/>
                <w:sz w:val="17"/>
              </w:rPr>
              <w:t>Certificate Programmes</w:t>
            </w:r>
          </w:p>
        </w:tc>
        <w:tc>
          <w:tcPr>
            <w:tcW w:type="dxa" w:w="5184"/>
            <w:vAlign w:val="top"/>
          </w:tcPr>
          <w:p>
            <w:r/>
            <w:r>
              <w:rPr>
                <w:rFonts w:ascii="Arial" w:hAnsi="Arial"/>
                <w:b w:val="0"/>
                <w:color w:val="1F2937"/>
                <w:sz w:val="16"/>
              </w:rPr>
              <w:t>Structured, school-led learning for learners seeking deeper capability, applied outputs and professional development.</w:t>
            </w:r>
          </w:p>
        </w:tc>
      </w:tr>
      <w:tr>
        <w:tc>
          <w:tcPr>
            <w:tcW w:type="dxa" w:w="5184"/>
            <w:vAlign w:val="top"/>
            <w:shd w:fill="F3F6FA"/>
          </w:tcPr>
          <w:p>
            <w:r/>
            <w:r>
              <w:rPr>
                <w:rFonts w:ascii="Arial" w:hAnsi="Arial"/>
                <w:b/>
                <w:color w:val="0B1F3A"/>
                <w:sz w:val="17"/>
              </w:rPr>
              <w:t>Online Courses</w:t>
            </w:r>
          </w:p>
        </w:tc>
        <w:tc>
          <w:tcPr>
            <w:tcW w:type="dxa" w:w="5184"/>
            <w:vAlign w:val="top"/>
          </w:tcPr>
          <w:p>
            <w:r/>
            <w:r>
              <w:rPr>
                <w:rFonts w:ascii="Arial" w:hAnsi="Arial"/>
                <w:b w:val="0"/>
                <w:color w:val="1F2937"/>
                <w:sz w:val="16"/>
              </w:rPr>
              <w:t>Flexible access to serious learning across the UK, Europe, Africa and the wider international community.</w:t>
            </w:r>
          </w:p>
        </w:tc>
      </w:tr>
      <w:tr>
        <w:tc>
          <w:tcPr>
            <w:tcW w:type="dxa" w:w="5184"/>
            <w:vAlign w:val="top"/>
            <w:shd w:fill="F3F6FA"/>
          </w:tcPr>
          <w:p>
            <w:r/>
            <w:r>
              <w:rPr>
                <w:rFonts w:ascii="Arial" w:hAnsi="Arial"/>
                <w:b/>
                <w:color w:val="0B1F3A"/>
                <w:sz w:val="17"/>
              </w:rPr>
              <w:t>Executive Education</w:t>
            </w:r>
          </w:p>
        </w:tc>
        <w:tc>
          <w:tcPr>
            <w:tcW w:type="dxa" w:w="5184"/>
            <w:vAlign w:val="top"/>
          </w:tcPr>
          <w:p>
            <w:r/>
            <w:r>
              <w:rPr>
                <w:rFonts w:ascii="Arial" w:hAnsi="Arial"/>
                <w:b w:val="0"/>
                <w:color w:val="1F2937"/>
                <w:sz w:val="16"/>
              </w:rPr>
              <w:t>Advanced programmes for leaders, teams and institutions seeking strategic capability and governance awareness.</w:t>
            </w:r>
          </w:p>
        </w:tc>
      </w:tr>
    </w:tbl>
    <w:p>
      <w:pPr>
        <w:pStyle w:val="Heading2"/>
      </w:pPr>
      <w:r>
        <w:t>Why this matters</w:t>
      </w:r>
    </w:p>
    <w:p>
      <w:pPr>
        <w:spacing w:after="100"/>
      </w:pPr>
      <w:r>
        <w:t>This structure protects LSSE’s institutional identity. It allows the School to expand ESG, certification and society offerings while maintaining consistency with the existing website categories and academic delivery logic.</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ACADEMIC POSITIONING</w:t>
              <w:br/>
            </w:r>
            <w:r>
              <w:rPr>
                <w:rFonts w:ascii="Arial" w:hAnsi="Arial"/>
                <w:b/>
                <w:color w:val="FFFFFF"/>
                <w:sz w:val="36"/>
              </w:rPr>
              <w:t>7. Areas of Study</w:t>
            </w:r>
            <w:r>
              <w:rPr>
                <w:rFonts w:ascii="Arial" w:hAnsi="Arial"/>
                <w:color w:val="DDE6F0"/>
                <w:sz w:val="18"/>
              </w:rPr>
              <w:br/>
              <w:t>A curriculum shaped by real institutional challenges</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Social Enterprise and Organisational Design</w:t>
            </w:r>
          </w:p>
        </w:tc>
        <w:tc>
          <w:tcPr>
            <w:tcW w:type="dxa" w:w="5184"/>
            <w:vAlign w:val="top"/>
          </w:tcPr>
          <w:p>
            <w:r/>
            <w:r>
              <w:rPr>
                <w:rFonts w:ascii="Arial" w:hAnsi="Arial"/>
                <w:b w:val="0"/>
                <w:color w:val="1F2937"/>
                <w:sz w:val="16"/>
              </w:rPr>
              <w:t>How mission-led organisations are conceived, structured, financed, governed, led and sustained.</w:t>
            </w:r>
          </w:p>
        </w:tc>
      </w:tr>
      <w:tr>
        <w:tc>
          <w:tcPr>
            <w:tcW w:type="dxa" w:w="5184"/>
            <w:vAlign w:val="top"/>
            <w:shd w:fill="F3F6FA"/>
          </w:tcPr>
          <w:p>
            <w:r/>
            <w:r>
              <w:rPr>
                <w:rFonts w:ascii="Arial" w:hAnsi="Arial"/>
                <w:b/>
                <w:color w:val="0B1F3A"/>
                <w:sz w:val="17"/>
              </w:rPr>
              <w:t>Sustainable Economics and Public Value</w:t>
            </w:r>
          </w:p>
        </w:tc>
        <w:tc>
          <w:tcPr>
            <w:tcW w:type="dxa" w:w="5184"/>
            <w:vAlign w:val="top"/>
          </w:tcPr>
          <w:p>
            <w:r/>
            <w:r>
              <w:rPr>
                <w:rFonts w:ascii="Arial" w:hAnsi="Arial"/>
                <w:b w:val="0"/>
                <w:color w:val="1F2937"/>
                <w:sz w:val="16"/>
              </w:rPr>
              <w:t>How economic systems, institutional stewardship and responsible enterprise support long-term development.</w:t>
            </w:r>
          </w:p>
        </w:tc>
      </w:tr>
      <w:tr>
        <w:tc>
          <w:tcPr>
            <w:tcW w:type="dxa" w:w="5184"/>
            <w:vAlign w:val="top"/>
            <w:shd w:fill="F3F6FA"/>
          </w:tcPr>
          <w:p>
            <w:r/>
            <w:r>
              <w:rPr>
                <w:rFonts w:ascii="Arial" w:hAnsi="Arial"/>
                <w:b/>
                <w:color w:val="0B1F3A"/>
                <w:sz w:val="17"/>
              </w:rPr>
              <w:t>ESG Strategy, Execution and Reporting</w:t>
            </w:r>
          </w:p>
        </w:tc>
        <w:tc>
          <w:tcPr>
            <w:tcW w:type="dxa" w:w="5184"/>
            <w:vAlign w:val="top"/>
          </w:tcPr>
          <w:p>
            <w:r/>
            <w:r>
              <w:rPr>
                <w:rFonts w:ascii="Arial" w:hAnsi="Arial"/>
                <w:b w:val="0"/>
                <w:color w:val="1F2937"/>
                <w:sz w:val="16"/>
              </w:rPr>
              <w:t>How organisations translate ESG commitments into action, evidence and accountability.</w:t>
            </w:r>
          </w:p>
        </w:tc>
      </w:tr>
      <w:tr>
        <w:tc>
          <w:tcPr>
            <w:tcW w:type="dxa" w:w="5184"/>
            <w:vAlign w:val="top"/>
            <w:shd w:fill="F3F6FA"/>
          </w:tcPr>
          <w:p>
            <w:r/>
            <w:r>
              <w:rPr>
                <w:rFonts w:ascii="Arial" w:hAnsi="Arial"/>
                <w:b/>
                <w:color w:val="0B1F3A"/>
                <w:sz w:val="17"/>
              </w:rPr>
              <w:t>Governance and Institutional Trust</w:t>
            </w:r>
          </w:p>
        </w:tc>
        <w:tc>
          <w:tcPr>
            <w:tcW w:type="dxa" w:w="5184"/>
            <w:vAlign w:val="top"/>
          </w:tcPr>
          <w:p>
            <w:r/>
            <w:r>
              <w:rPr>
                <w:rFonts w:ascii="Arial" w:hAnsi="Arial"/>
                <w:b w:val="0"/>
                <w:color w:val="1F2937"/>
                <w:sz w:val="16"/>
              </w:rPr>
              <w:t>How boards, leaders and organisations build credibility through accountability and ethical practice.</w:t>
            </w:r>
          </w:p>
        </w:tc>
      </w:tr>
      <w:tr>
        <w:tc>
          <w:tcPr>
            <w:tcW w:type="dxa" w:w="5184"/>
            <w:vAlign w:val="top"/>
            <w:shd w:fill="F3F6FA"/>
          </w:tcPr>
          <w:p>
            <w:r/>
            <w:r>
              <w:rPr>
                <w:rFonts w:ascii="Arial" w:hAnsi="Arial"/>
                <w:b/>
                <w:color w:val="0B1F3A"/>
                <w:sz w:val="17"/>
              </w:rPr>
              <w:t>Fundraising and Resource Mobilisation</w:t>
            </w:r>
          </w:p>
        </w:tc>
        <w:tc>
          <w:tcPr>
            <w:tcW w:type="dxa" w:w="5184"/>
            <w:vAlign w:val="top"/>
          </w:tcPr>
          <w:p>
            <w:r/>
            <w:r>
              <w:rPr>
                <w:rFonts w:ascii="Arial" w:hAnsi="Arial"/>
                <w:b w:val="0"/>
                <w:color w:val="1F2937"/>
                <w:sz w:val="16"/>
              </w:rPr>
              <w:t>How mission-led organisations attract support, diversify income and develop long-term sustainability.</w:t>
            </w:r>
          </w:p>
        </w:tc>
      </w:tr>
      <w:tr>
        <w:tc>
          <w:tcPr>
            <w:tcW w:type="dxa" w:w="5184"/>
            <w:vAlign w:val="top"/>
            <w:shd w:fill="F3F6FA"/>
          </w:tcPr>
          <w:p>
            <w:r/>
            <w:r>
              <w:rPr>
                <w:rFonts w:ascii="Arial" w:hAnsi="Arial"/>
                <w:b/>
                <w:color w:val="0B1F3A"/>
                <w:sz w:val="17"/>
              </w:rPr>
              <w:t>Impact Measurement and Reporting</w:t>
            </w:r>
          </w:p>
        </w:tc>
        <w:tc>
          <w:tcPr>
            <w:tcW w:type="dxa" w:w="5184"/>
            <w:vAlign w:val="top"/>
          </w:tcPr>
          <w:p>
            <w:r/>
            <w:r>
              <w:rPr>
                <w:rFonts w:ascii="Arial" w:hAnsi="Arial"/>
                <w:b w:val="0"/>
                <w:color w:val="1F2937"/>
                <w:sz w:val="16"/>
              </w:rPr>
              <w:t>How organisations define outcomes, collect evidence and communicate value responsibly.</w:t>
            </w:r>
          </w:p>
        </w:tc>
      </w:tr>
      <w:tr>
        <w:tc>
          <w:tcPr>
            <w:tcW w:type="dxa" w:w="5184"/>
            <w:vAlign w:val="top"/>
            <w:shd w:fill="F3F6FA"/>
          </w:tcPr>
          <w:p>
            <w:r/>
            <w:r>
              <w:rPr>
                <w:rFonts w:ascii="Arial" w:hAnsi="Arial"/>
                <w:b/>
                <w:color w:val="0B1F3A"/>
                <w:sz w:val="17"/>
              </w:rPr>
              <w:t>Leadership and Institutional Development</w:t>
            </w:r>
          </w:p>
        </w:tc>
        <w:tc>
          <w:tcPr>
            <w:tcW w:type="dxa" w:w="5184"/>
            <w:vAlign w:val="top"/>
          </w:tcPr>
          <w:p>
            <w:r/>
            <w:r>
              <w:rPr>
                <w:rFonts w:ascii="Arial" w:hAnsi="Arial"/>
                <w:b w:val="0"/>
                <w:color w:val="1F2937"/>
                <w:sz w:val="16"/>
              </w:rPr>
              <w:t>How founders, executives and trustees build resilient organisations.</w:t>
            </w:r>
          </w:p>
        </w:tc>
      </w:tr>
      <w:tr>
        <w:tc>
          <w:tcPr>
            <w:tcW w:type="dxa" w:w="5184"/>
            <w:vAlign w:val="top"/>
            <w:shd w:fill="F3F6FA"/>
          </w:tcPr>
          <w:p>
            <w:r/>
            <w:r>
              <w:rPr>
                <w:rFonts w:ascii="Arial" w:hAnsi="Arial"/>
                <w:b/>
                <w:color w:val="0B1F3A"/>
                <w:sz w:val="17"/>
              </w:rPr>
              <w:t>Innovation, AI and Future Practice</w:t>
            </w:r>
          </w:p>
        </w:tc>
        <w:tc>
          <w:tcPr>
            <w:tcW w:type="dxa" w:w="5184"/>
            <w:vAlign w:val="top"/>
          </w:tcPr>
          <w:p>
            <w:r/>
            <w:r>
              <w:rPr>
                <w:rFonts w:ascii="Arial" w:hAnsi="Arial"/>
                <w:b w:val="0"/>
                <w:color w:val="1F2937"/>
                <w:sz w:val="16"/>
              </w:rPr>
              <w:t>How data, technology and AI reshape learning, delivery and social innovation.</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CAPABILITY PATHWAY</w:t>
              <w:br/>
            </w:r>
            <w:r>
              <w:rPr>
                <w:rFonts w:ascii="Arial" w:hAnsi="Arial"/>
                <w:b/>
                <w:color w:val="FFFFFF"/>
                <w:sz w:val="36"/>
              </w:rPr>
              <w:t>8. ESG Programmes Overview</w:t>
            </w:r>
            <w:r>
              <w:rPr>
                <w:rFonts w:ascii="Arial" w:hAnsi="Arial"/>
                <w:color w:val="DDE6F0"/>
                <w:sz w:val="18"/>
              </w:rPr>
              <w:br/>
              <w:t>Practical capability for ESG execution, donor readiness and measurable impact</w:t>
            </w:r>
          </w:p>
        </w:tc>
      </w:tr>
    </w:tbl>
    <w:p>
      <w:pPr>
        <w:spacing w:after="100"/>
      </w:pPr>
      <w:r>
        <w:t>LSSE ESG Programmes are designed for individuals, organisations and institutions seeking to move from intention to execution. They provide practical training, applied tools and structured outputs that support ESG delivery, social impact design, donor readiness, fundraising, reporting and institutional accountability.</w:t>
      </w:r>
    </w:p>
    <w:tbl>
      <w:tblPr>
        <w:tblStyle w:val="TableGrid"/>
        <w:tblW w:type="auto" w:w="0"/>
        <w:jc w:val="center"/>
        <w:tblLook w:firstColumn="1" w:firstRow="1" w:lastColumn="0" w:lastRow="0" w:noHBand="0" w:noVBand="1" w:val="04A0"/>
      </w:tblPr>
      <w:tblGrid>
        <w:gridCol w:w="10368"/>
      </w:tblGrid>
      <w:tr>
        <w:tc>
          <w:tcPr>
            <w:tcW w:type="dxa" w:w="10368"/>
            <w:vAlign w:val="top"/>
            <w:shd w:fill="F8F3E7"/>
          </w:tcPr>
          <w:p>
            <w:pPr>
              <w:spacing w:after="120" w:before="120"/>
            </w:pPr>
            <w:r>
              <w:rPr>
                <w:rFonts w:ascii="Arial" w:hAnsi="Arial"/>
                <w:b/>
                <w:color w:val="0B1F3A"/>
                <w:sz w:val="21"/>
              </w:rPr>
              <w:t>Institutional value</w:t>
              <w:br/>
            </w:r>
            <w:r>
              <w:rPr>
                <w:rFonts w:ascii="Arial" w:hAnsi="Arial"/>
                <w:color w:val="1F2937"/>
                <w:sz w:val="18"/>
              </w:rPr>
              <w:t>The ESG pathway responds to a market need: organisations increasingly need staff and leaders who can design credible projects, develop evidence, communicate impact responsibly and meet rising expectations from funders, boards, communities and partners.</w:t>
            </w:r>
          </w:p>
        </w:tc>
      </w:tr>
    </w:tbl>
    <w:p>
      <w:pPr>
        <w:pStyle w:val="ListBullet"/>
      </w:pPr>
      <w:r>
        <w:t>ESG action plans</w:t>
      </w:r>
    </w:p>
    <w:p>
      <w:pPr>
        <w:pStyle w:val="ListBullet"/>
      </w:pPr>
      <w:r>
        <w:t>Stakeholder maps</w:t>
      </w:r>
    </w:p>
    <w:p>
      <w:pPr>
        <w:pStyle w:val="ListBullet"/>
      </w:pPr>
      <w:r>
        <w:t>Theory of change models</w:t>
      </w:r>
    </w:p>
    <w:p>
      <w:pPr>
        <w:pStyle w:val="ListBullet"/>
      </w:pPr>
      <w:r>
        <w:t>Project budgets</w:t>
      </w:r>
    </w:p>
    <w:p>
      <w:pPr>
        <w:pStyle w:val="ListBullet"/>
      </w:pPr>
      <w:r>
        <w:t>Risk registers</w:t>
      </w:r>
    </w:p>
    <w:p>
      <w:pPr>
        <w:pStyle w:val="ListBullet"/>
      </w:pPr>
      <w:r>
        <w:t>Donor pitch packs</w:t>
      </w:r>
    </w:p>
    <w:p>
      <w:pPr>
        <w:pStyle w:val="ListBullet"/>
      </w:pPr>
      <w:r>
        <w:t>Case for support documents</w:t>
      </w:r>
    </w:p>
    <w:p>
      <w:pPr>
        <w:pStyle w:val="ListBullet"/>
      </w:pPr>
      <w:r>
        <w:t>Outcomes frameworks and evidence plans</w:t>
      </w:r>
    </w:p>
    <w:p>
      <w:pPr>
        <w:pStyle w:val="ListBullet"/>
      </w:pPr>
      <w:r>
        <w:t>Impact reporting packs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ESG PROGRAMME PAGE</w:t>
              <w:br/>
            </w:r>
            <w:r>
              <w:rPr>
                <w:rFonts w:ascii="Arial" w:hAnsi="Arial"/>
                <w:b/>
                <w:color w:val="FFFFFF"/>
                <w:sz w:val="36"/>
              </w:rPr>
              <w:t>9. ESG Execution Certificate</w:t>
            </w:r>
            <w:r>
              <w:rPr>
                <w:rFonts w:ascii="Arial" w:hAnsi="Arial"/>
                <w:color w:val="DDE6F0"/>
                <w:sz w:val="18"/>
              </w:rPr>
              <w:br/>
              <w:t>Build the practical foundation for credible ESG delivery.</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F3F6FA"/>
          </w:tcPr>
          <w:p>
            <w:r/>
            <w:r>
              <w:rPr>
                <w:rFonts w:ascii="Arial" w:hAnsi="Arial"/>
                <w:b/>
                <w:color w:val="0B1F3A"/>
                <w:sz w:val="17"/>
              </w:rPr>
              <w:t>Duration</w:t>
            </w:r>
          </w:p>
        </w:tc>
        <w:tc>
          <w:tcPr>
            <w:tcW w:type="dxa" w:w="5184"/>
            <w:vAlign w:val="top"/>
          </w:tcPr>
          <w:p>
            <w:r/>
            <w:r>
              <w:rPr>
                <w:rFonts w:ascii="Arial" w:hAnsi="Arial"/>
                <w:b w:val="0"/>
                <w:color w:val="1F2937"/>
                <w:sz w:val="17"/>
              </w:rPr>
              <w:t>8-10 weeks</w:t>
            </w:r>
          </w:p>
        </w:tc>
      </w:tr>
      <w:tr>
        <w:tc>
          <w:tcPr>
            <w:tcW w:type="dxa" w:w="5184"/>
            <w:vAlign w:val="top"/>
            <w:shd w:fill="F3F6FA"/>
          </w:tcPr>
          <w:p>
            <w:r/>
            <w:r>
              <w:rPr>
                <w:rFonts w:ascii="Arial" w:hAnsi="Arial"/>
                <w:b/>
                <w:color w:val="0B1F3A"/>
                <w:sz w:val="17"/>
              </w:rPr>
              <w:t>Fee</w:t>
            </w:r>
          </w:p>
        </w:tc>
        <w:tc>
          <w:tcPr>
            <w:tcW w:type="dxa" w:w="5184"/>
            <w:vAlign w:val="top"/>
          </w:tcPr>
          <w:p>
            <w:r/>
            <w:r>
              <w:rPr>
                <w:rFonts w:ascii="Arial" w:hAnsi="Arial"/>
                <w:b w:val="0"/>
                <w:color w:val="1F2937"/>
                <w:sz w:val="17"/>
              </w:rPr>
              <w:t>£495-£750 per learner</w:t>
            </w:r>
          </w:p>
        </w:tc>
      </w:tr>
      <w:tr>
        <w:tc>
          <w:tcPr>
            <w:tcW w:type="dxa" w:w="5184"/>
            <w:vAlign w:val="top"/>
            <w:shd w:fill="F3F6FA"/>
          </w:tcPr>
          <w:p>
            <w:r/>
            <w:r>
              <w:rPr>
                <w:rFonts w:ascii="Arial" w:hAnsi="Arial"/>
                <w:b/>
                <w:color w:val="0B1F3A"/>
                <w:sz w:val="17"/>
              </w:rPr>
              <w:t>Primary output</w:t>
            </w:r>
          </w:p>
        </w:tc>
        <w:tc>
          <w:tcPr>
            <w:tcW w:type="dxa" w:w="5184"/>
            <w:vAlign w:val="top"/>
          </w:tcPr>
          <w:p>
            <w:r/>
            <w:r>
              <w:rPr>
                <w:rFonts w:ascii="Arial" w:hAnsi="Arial"/>
                <w:b w:val="0"/>
                <w:color w:val="1F2937"/>
                <w:sz w:val="17"/>
              </w:rPr>
              <w:t>Participants leave with an ESG action plan, stakeholder map, theory of change and impact indicator set.</w:t>
            </w:r>
          </w:p>
        </w:tc>
      </w:tr>
    </w:tbl>
    <w:p>
      <w:pPr>
        <w:pStyle w:val="Heading2"/>
      </w:pPr>
      <w:r>
        <w:t>Who should attend</w:t>
      </w:r>
    </w:p>
    <w:p>
      <w:pPr>
        <w:spacing w:after="100"/>
      </w:pPr>
      <w:r>
        <w:t>This programme is suitable for early-stage practitioners, students, NGO staff, project officers, community organisers and professionals moving into ESG or impact roles.</w:t>
      </w:r>
    </w:p>
    <w:p>
      <w:pPr>
        <w:pStyle w:val="Heading2"/>
      </w:pPr>
      <w:r>
        <w:t>Why it sells in the UK market</w:t>
      </w:r>
    </w:p>
    <w:p>
      <w:pPr>
        <w:spacing w:after="100"/>
      </w:pPr>
      <w:r>
        <w:t>The UK market values credible, outcome-oriented learning that supports career relevance, organisational capability and professional confidence. This programme should therefore emphasise practical outputs, clear learning structure, credible assessment, and direct relevance to charities, social enterprises, ESG teams and mission-led organisations.</w:t>
      </w:r>
    </w:p>
    <w:p>
      <w:pPr>
        <w:pStyle w:val="Heading2"/>
      </w:pPr>
      <w:r>
        <w:t>Benefits</w:t>
      </w:r>
    </w:p>
    <w:p>
      <w:pPr>
        <w:pStyle w:val="ListBullet"/>
      </w:pPr>
      <w:r>
        <w:t>Develop practical tools that can be used immediately.</w:t>
      </w:r>
    </w:p>
    <w:p>
      <w:pPr>
        <w:pStyle w:val="ListBullet"/>
      </w:pPr>
      <w:r>
        <w:t>Strengthen confidence in professional, funder or board conversations.</w:t>
      </w:r>
    </w:p>
    <w:p>
      <w:pPr>
        <w:pStyle w:val="ListBullet"/>
      </w:pPr>
      <w:r>
        <w:t>Build evidence for future LSSE certification or Society progression.</w:t>
      </w:r>
    </w:p>
    <w:p>
      <w:pPr>
        <w:pStyle w:val="ListBullet"/>
      </w:pPr>
      <w:r>
        <w:t>Learn within a serious institutional framework rather than a generic online course.</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ESG PROGRAMME PAGE</w:t>
              <w:br/>
            </w:r>
            <w:r>
              <w:rPr>
                <w:rFonts w:ascii="Arial" w:hAnsi="Arial"/>
                <w:b/>
                <w:color w:val="FFFFFF"/>
                <w:sz w:val="36"/>
              </w:rPr>
              <w:t>10. ESG Fundraising and Grant Readiness</w:t>
            </w:r>
            <w:r>
              <w:rPr>
                <w:rFonts w:ascii="Arial" w:hAnsi="Arial"/>
                <w:color w:val="DDE6F0"/>
                <w:sz w:val="18"/>
              </w:rPr>
              <w:br/>
              <w:t>Build a stronger case for support and a disciplined fundraising pipeline.</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F3F6FA"/>
          </w:tcPr>
          <w:p>
            <w:r/>
            <w:r>
              <w:rPr>
                <w:rFonts w:ascii="Arial" w:hAnsi="Arial"/>
                <w:b/>
                <w:color w:val="0B1F3A"/>
                <w:sz w:val="17"/>
              </w:rPr>
              <w:t>Duration</w:t>
            </w:r>
          </w:p>
        </w:tc>
        <w:tc>
          <w:tcPr>
            <w:tcW w:type="dxa" w:w="5184"/>
            <w:vAlign w:val="top"/>
          </w:tcPr>
          <w:p>
            <w:r/>
            <w:r>
              <w:rPr>
                <w:rFonts w:ascii="Arial" w:hAnsi="Arial"/>
                <w:b w:val="0"/>
                <w:color w:val="1F2937"/>
                <w:sz w:val="17"/>
              </w:rPr>
              <w:t>6-8 weeks</w:t>
            </w:r>
          </w:p>
        </w:tc>
      </w:tr>
      <w:tr>
        <w:tc>
          <w:tcPr>
            <w:tcW w:type="dxa" w:w="5184"/>
            <w:vAlign w:val="top"/>
            <w:shd w:fill="F3F6FA"/>
          </w:tcPr>
          <w:p>
            <w:r/>
            <w:r>
              <w:rPr>
                <w:rFonts w:ascii="Arial" w:hAnsi="Arial"/>
                <w:b/>
                <w:color w:val="0B1F3A"/>
                <w:sz w:val="17"/>
              </w:rPr>
              <w:t>Fee</w:t>
            </w:r>
          </w:p>
        </w:tc>
        <w:tc>
          <w:tcPr>
            <w:tcW w:type="dxa" w:w="5184"/>
            <w:vAlign w:val="top"/>
          </w:tcPr>
          <w:p>
            <w:r/>
            <w:r>
              <w:rPr>
                <w:rFonts w:ascii="Arial" w:hAnsi="Arial"/>
                <w:b w:val="0"/>
                <w:color w:val="1F2937"/>
                <w:sz w:val="17"/>
              </w:rPr>
              <w:t>£495 individual / £2,500 organisation</w:t>
            </w:r>
          </w:p>
        </w:tc>
      </w:tr>
      <w:tr>
        <w:tc>
          <w:tcPr>
            <w:tcW w:type="dxa" w:w="5184"/>
            <w:vAlign w:val="top"/>
            <w:shd w:fill="F3F6FA"/>
          </w:tcPr>
          <w:p>
            <w:r/>
            <w:r>
              <w:rPr>
                <w:rFonts w:ascii="Arial" w:hAnsi="Arial"/>
                <w:b/>
                <w:color w:val="0B1F3A"/>
                <w:sz w:val="17"/>
              </w:rPr>
              <w:t>Primary output</w:t>
            </w:r>
          </w:p>
        </w:tc>
        <w:tc>
          <w:tcPr>
            <w:tcW w:type="dxa" w:w="5184"/>
            <w:vAlign w:val="top"/>
          </w:tcPr>
          <w:p>
            <w:r/>
            <w:r>
              <w:rPr>
                <w:rFonts w:ascii="Arial" w:hAnsi="Arial"/>
                <w:b w:val="0"/>
                <w:color w:val="1F2937"/>
                <w:sz w:val="17"/>
              </w:rPr>
              <w:t>Participants produce a case for support, donor map, grant calendar, application framework and readiness checklist.</w:t>
            </w:r>
          </w:p>
        </w:tc>
      </w:tr>
    </w:tbl>
    <w:p>
      <w:pPr>
        <w:pStyle w:val="Heading2"/>
      </w:pPr>
      <w:r>
        <w:t>Who should attend</w:t>
      </w:r>
    </w:p>
    <w:p>
      <w:pPr>
        <w:spacing w:after="100"/>
      </w:pPr>
      <w:r>
        <w:t>This programme is designed for charity leaders, NGO teams, social entrepreneurs, trustees and organisations preparing grant applications or donor engagement.</w:t>
      </w:r>
    </w:p>
    <w:p>
      <w:pPr>
        <w:pStyle w:val="Heading2"/>
      </w:pPr>
      <w:r>
        <w:t>Why it sells in the UK market</w:t>
      </w:r>
    </w:p>
    <w:p>
      <w:pPr>
        <w:spacing w:after="100"/>
      </w:pPr>
      <w:r>
        <w:t>The UK market values credible, outcome-oriented learning that supports career relevance, organisational capability and professional confidence. This programme should therefore emphasise practical outputs, clear learning structure, credible assessment, and direct relevance to charities, social enterprises, ESG teams and mission-led organisations.</w:t>
      </w:r>
    </w:p>
    <w:p>
      <w:pPr>
        <w:pStyle w:val="Heading2"/>
      </w:pPr>
      <w:r>
        <w:t>Benefits</w:t>
      </w:r>
    </w:p>
    <w:p>
      <w:pPr>
        <w:pStyle w:val="ListBullet"/>
      </w:pPr>
      <w:r>
        <w:t>Develop practical tools that can be used immediately.</w:t>
      </w:r>
    </w:p>
    <w:p>
      <w:pPr>
        <w:pStyle w:val="ListBullet"/>
      </w:pPr>
      <w:r>
        <w:t>Strengthen confidence in professional, funder or board conversations.</w:t>
      </w:r>
    </w:p>
    <w:p>
      <w:pPr>
        <w:pStyle w:val="ListBullet"/>
      </w:pPr>
      <w:r>
        <w:t>Build evidence for future LSSE certification or Society progression.</w:t>
      </w:r>
    </w:p>
    <w:p>
      <w:pPr>
        <w:pStyle w:val="ListBullet"/>
      </w:pPr>
      <w:r>
        <w:t>Learn within a serious institutional framework rather than a generic online course.</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ESG PROGRAMME PAGE</w:t>
              <w:br/>
            </w:r>
            <w:r>
              <w:rPr>
                <w:rFonts w:ascii="Arial" w:hAnsi="Arial"/>
                <w:b/>
                <w:color w:val="FFFFFF"/>
                <w:sz w:val="36"/>
              </w:rPr>
              <w:t>11. ESG Impact Reporting Certificate</w:t>
            </w:r>
            <w:r>
              <w:rPr>
                <w:rFonts w:ascii="Arial" w:hAnsi="Arial"/>
                <w:color w:val="DDE6F0"/>
                <w:sz w:val="18"/>
              </w:rPr>
              <w:br/>
              <w:t>Report outcomes with evidence, integrity and institutional discipline.</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F3F6FA"/>
          </w:tcPr>
          <w:p>
            <w:r/>
            <w:r>
              <w:rPr>
                <w:rFonts w:ascii="Arial" w:hAnsi="Arial"/>
                <w:b/>
                <w:color w:val="0B1F3A"/>
                <w:sz w:val="17"/>
              </w:rPr>
              <w:t>Duration</w:t>
            </w:r>
          </w:p>
        </w:tc>
        <w:tc>
          <w:tcPr>
            <w:tcW w:type="dxa" w:w="5184"/>
            <w:vAlign w:val="top"/>
          </w:tcPr>
          <w:p>
            <w:r/>
            <w:r>
              <w:rPr>
                <w:rFonts w:ascii="Arial" w:hAnsi="Arial"/>
                <w:b w:val="0"/>
                <w:color w:val="1F2937"/>
                <w:sz w:val="17"/>
              </w:rPr>
              <w:t>6-8 weeks</w:t>
            </w:r>
          </w:p>
        </w:tc>
      </w:tr>
      <w:tr>
        <w:tc>
          <w:tcPr>
            <w:tcW w:type="dxa" w:w="5184"/>
            <w:vAlign w:val="top"/>
            <w:shd w:fill="F3F6FA"/>
          </w:tcPr>
          <w:p>
            <w:r/>
            <w:r>
              <w:rPr>
                <w:rFonts w:ascii="Arial" w:hAnsi="Arial"/>
                <w:b/>
                <w:color w:val="0B1F3A"/>
                <w:sz w:val="17"/>
              </w:rPr>
              <w:t>Fee</w:t>
            </w:r>
          </w:p>
        </w:tc>
        <w:tc>
          <w:tcPr>
            <w:tcW w:type="dxa" w:w="5184"/>
            <w:vAlign w:val="top"/>
          </w:tcPr>
          <w:p>
            <w:r/>
            <w:r>
              <w:rPr>
                <w:rFonts w:ascii="Arial" w:hAnsi="Arial"/>
                <w:b w:val="0"/>
                <w:color w:val="1F2937"/>
                <w:sz w:val="17"/>
              </w:rPr>
              <w:t>£595-£950 per learner</w:t>
            </w:r>
          </w:p>
        </w:tc>
      </w:tr>
      <w:tr>
        <w:tc>
          <w:tcPr>
            <w:tcW w:type="dxa" w:w="5184"/>
            <w:vAlign w:val="top"/>
            <w:shd w:fill="F3F6FA"/>
          </w:tcPr>
          <w:p>
            <w:r/>
            <w:r>
              <w:rPr>
                <w:rFonts w:ascii="Arial" w:hAnsi="Arial"/>
                <w:b/>
                <w:color w:val="0B1F3A"/>
                <w:sz w:val="17"/>
              </w:rPr>
              <w:t>Primary output</w:t>
            </w:r>
          </w:p>
        </w:tc>
        <w:tc>
          <w:tcPr>
            <w:tcW w:type="dxa" w:w="5184"/>
            <w:vAlign w:val="top"/>
          </w:tcPr>
          <w:p>
            <w:r/>
            <w:r>
              <w:rPr>
                <w:rFonts w:ascii="Arial" w:hAnsi="Arial"/>
                <w:b w:val="0"/>
                <w:color w:val="1F2937"/>
                <w:sz w:val="17"/>
              </w:rPr>
              <w:t>Participants develop outcomes frameworks, evidence plans, reporting packs and claims discipline tools.</w:t>
            </w:r>
          </w:p>
        </w:tc>
      </w:tr>
    </w:tbl>
    <w:p>
      <w:pPr>
        <w:pStyle w:val="Heading2"/>
      </w:pPr>
      <w:r>
        <w:t>Who should attend</w:t>
      </w:r>
    </w:p>
    <w:p>
      <w:pPr>
        <w:spacing w:after="100"/>
      </w:pPr>
      <w:r>
        <w:t>This programme is relevant for impact officers, ESG practitioners, charity managers, project teams and reporting leads.</w:t>
      </w:r>
    </w:p>
    <w:p>
      <w:pPr>
        <w:pStyle w:val="Heading2"/>
      </w:pPr>
      <w:r>
        <w:t>Why it sells in the UK market</w:t>
      </w:r>
    </w:p>
    <w:p>
      <w:pPr>
        <w:spacing w:after="100"/>
      </w:pPr>
      <w:r>
        <w:t>The UK market values credible, outcome-oriented learning that supports career relevance, organisational capability and professional confidence. This programme should therefore emphasise practical outputs, clear learning structure, credible assessment, and direct relevance to charities, social enterprises, ESG teams and mission-led organisations.</w:t>
      </w:r>
    </w:p>
    <w:p>
      <w:pPr>
        <w:pStyle w:val="Heading2"/>
      </w:pPr>
      <w:r>
        <w:t>Benefits</w:t>
      </w:r>
    </w:p>
    <w:p>
      <w:pPr>
        <w:pStyle w:val="ListBullet"/>
      </w:pPr>
      <w:r>
        <w:t>Develop practical tools that can be used immediately.</w:t>
      </w:r>
    </w:p>
    <w:p>
      <w:pPr>
        <w:pStyle w:val="ListBullet"/>
      </w:pPr>
      <w:r>
        <w:t>Strengthen confidence in professional, funder or board conversations.</w:t>
      </w:r>
    </w:p>
    <w:p>
      <w:pPr>
        <w:pStyle w:val="ListBullet"/>
      </w:pPr>
      <w:r>
        <w:t>Build evidence for future LSSE certification or Society progression.</w:t>
      </w:r>
    </w:p>
    <w:p>
      <w:pPr>
        <w:pStyle w:val="ListBullet"/>
      </w:pPr>
      <w:r>
        <w:t>Learn within a serious institutional framework rather than a generic online course.</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ESG PROGRAMME PAGE</w:t>
              <w:br/>
            </w:r>
            <w:r>
              <w:rPr>
                <w:rFonts w:ascii="Arial" w:hAnsi="Arial"/>
                <w:b/>
                <w:color w:val="FFFFFF"/>
                <w:sz w:val="36"/>
              </w:rPr>
              <w:t>12. ESG Project Design and Donor Readiness Lab</w:t>
            </w:r>
            <w:r>
              <w:rPr>
                <w:rFonts w:ascii="Arial" w:hAnsi="Arial"/>
                <w:color w:val="DDE6F0"/>
                <w:sz w:val="18"/>
              </w:rPr>
              <w:br/>
              <w:t>Convert project ideas into structured, funder-ready propositions.</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F3F6FA"/>
          </w:tcPr>
          <w:p>
            <w:r/>
            <w:r>
              <w:rPr>
                <w:rFonts w:ascii="Arial" w:hAnsi="Arial"/>
                <w:b/>
                <w:color w:val="0B1F3A"/>
                <w:sz w:val="17"/>
              </w:rPr>
              <w:t>Duration</w:t>
            </w:r>
          </w:p>
        </w:tc>
        <w:tc>
          <w:tcPr>
            <w:tcW w:type="dxa" w:w="5184"/>
            <w:vAlign w:val="top"/>
          </w:tcPr>
          <w:p>
            <w:r/>
            <w:r>
              <w:rPr>
                <w:rFonts w:ascii="Arial" w:hAnsi="Arial"/>
                <w:b w:val="0"/>
                <w:color w:val="1F2937"/>
                <w:sz w:val="17"/>
              </w:rPr>
              <w:t>6 weeks</w:t>
            </w:r>
          </w:p>
        </w:tc>
      </w:tr>
      <w:tr>
        <w:tc>
          <w:tcPr>
            <w:tcW w:type="dxa" w:w="5184"/>
            <w:vAlign w:val="top"/>
            <w:shd w:fill="F3F6FA"/>
          </w:tcPr>
          <w:p>
            <w:r/>
            <w:r>
              <w:rPr>
                <w:rFonts w:ascii="Arial" w:hAnsi="Arial"/>
                <w:b/>
                <w:color w:val="0B1F3A"/>
                <w:sz w:val="17"/>
              </w:rPr>
              <w:t>Fee</w:t>
            </w:r>
          </w:p>
        </w:tc>
        <w:tc>
          <w:tcPr>
            <w:tcW w:type="dxa" w:w="5184"/>
            <w:vAlign w:val="top"/>
          </w:tcPr>
          <w:p>
            <w:r/>
            <w:r>
              <w:rPr>
                <w:rFonts w:ascii="Arial" w:hAnsi="Arial"/>
                <w:b w:val="0"/>
                <w:color w:val="1F2937"/>
                <w:sz w:val="17"/>
              </w:rPr>
              <w:t>£1,500-£3,000 per organisation</w:t>
            </w:r>
          </w:p>
        </w:tc>
      </w:tr>
      <w:tr>
        <w:tc>
          <w:tcPr>
            <w:tcW w:type="dxa" w:w="5184"/>
            <w:vAlign w:val="top"/>
            <w:shd w:fill="F3F6FA"/>
          </w:tcPr>
          <w:p>
            <w:r/>
            <w:r>
              <w:rPr>
                <w:rFonts w:ascii="Arial" w:hAnsi="Arial"/>
                <w:b/>
                <w:color w:val="0B1F3A"/>
                <w:sz w:val="17"/>
              </w:rPr>
              <w:t>Primary output</w:t>
            </w:r>
          </w:p>
        </w:tc>
        <w:tc>
          <w:tcPr>
            <w:tcW w:type="dxa" w:w="5184"/>
            <w:vAlign w:val="top"/>
          </w:tcPr>
          <w:p>
            <w:r/>
            <w:r>
              <w:rPr>
                <w:rFonts w:ascii="Arial" w:hAnsi="Arial"/>
                <w:b w:val="0"/>
                <w:color w:val="1F2937"/>
                <w:sz w:val="17"/>
              </w:rPr>
              <w:t>Outputs include a concept note, implementation plan, project budget, risk register and donor pitch pack.</w:t>
            </w:r>
          </w:p>
        </w:tc>
      </w:tr>
    </w:tbl>
    <w:p>
      <w:pPr>
        <w:pStyle w:val="Heading2"/>
      </w:pPr>
      <w:r>
        <w:t>Who should attend</w:t>
      </w:r>
    </w:p>
    <w:p>
      <w:pPr>
        <w:spacing w:after="100"/>
      </w:pPr>
      <w:r>
        <w:t>This applied lab is for organisations that need to turn a project concept into a credible donor-facing pack.</w:t>
      </w:r>
    </w:p>
    <w:p>
      <w:pPr>
        <w:pStyle w:val="Heading2"/>
      </w:pPr>
      <w:r>
        <w:t>Why it sells in the UK market</w:t>
      </w:r>
    </w:p>
    <w:p>
      <w:pPr>
        <w:spacing w:after="100"/>
      </w:pPr>
      <w:r>
        <w:t>The UK market values credible, outcome-oriented learning that supports career relevance, organisational capability and professional confidence. This programme should therefore emphasise practical outputs, clear learning structure, credible assessment, and direct relevance to charities, social enterprises, ESG teams and mission-led organisations.</w:t>
      </w:r>
    </w:p>
    <w:p>
      <w:pPr>
        <w:pStyle w:val="Heading2"/>
      </w:pPr>
      <w:r>
        <w:t>Benefits</w:t>
      </w:r>
    </w:p>
    <w:p>
      <w:pPr>
        <w:pStyle w:val="ListBullet"/>
      </w:pPr>
      <w:r>
        <w:t>Develop practical tools that can be used immediately.</w:t>
      </w:r>
    </w:p>
    <w:p>
      <w:pPr>
        <w:pStyle w:val="ListBullet"/>
      </w:pPr>
      <w:r>
        <w:t>Strengthen confidence in professional, funder or board conversations.</w:t>
      </w:r>
    </w:p>
    <w:p>
      <w:pPr>
        <w:pStyle w:val="ListBullet"/>
      </w:pPr>
      <w:r>
        <w:t>Build evidence for future LSSE certification or Society progression.</w:t>
      </w:r>
    </w:p>
    <w:p>
      <w:pPr>
        <w:pStyle w:val="ListBullet"/>
      </w:pPr>
      <w:r>
        <w:t>Learn within a serious institutional framework rather than a generic online course.</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ESG PROGRAMME PAGE</w:t>
              <w:br/>
            </w:r>
            <w:r>
              <w:rPr>
                <w:rFonts w:ascii="Arial" w:hAnsi="Arial"/>
                <w:b/>
                <w:color w:val="FFFFFF"/>
                <w:sz w:val="36"/>
              </w:rPr>
              <w:t>13. ESG Leadership Fellowship</w:t>
            </w:r>
            <w:r>
              <w:rPr>
                <w:rFonts w:ascii="Arial" w:hAnsi="Arial"/>
                <w:color w:val="DDE6F0"/>
                <w:sz w:val="18"/>
              </w:rPr>
              <w:br/>
              <w:t>Executive development for leaders shaping ESG strategy and institutional impact.</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F3F6FA"/>
          </w:tcPr>
          <w:p>
            <w:r/>
            <w:r>
              <w:rPr>
                <w:rFonts w:ascii="Arial" w:hAnsi="Arial"/>
                <w:b/>
                <w:color w:val="0B1F3A"/>
                <w:sz w:val="17"/>
              </w:rPr>
              <w:t>Duration</w:t>
            </w:r>
          </w:p>
        </w:tc>
        <w:tc>
          <w:tcPr>
            <w:tcW w:type="dxa" w:w="5184"/>
            <w:vAlign w:val="top"/>
          </w:tcPr>
          <w:p>
            <w:r/>
            <w:r>
              <w:rPr>
                <w:rFonts w:ascii="Arial" w:hAnsi="Arial"/>
                <w:b w:val="0"/>
                <w:color w:val="1F2937"/>
                <w:sz w:val="17"/>
              </w:rPr>
              <w:t>12 weeks</w:t>
            </w:r>
          </w:p>
        </w:tc>
      </w:tr>
      <w:tr>
        <w:tc>
          <w:tcPr>
            <w:tcW w:type="dxa" w:w="5184"/>
            <w:vAlign w:val="top"/>
            <w:shd w:fill="F3F6FA"/>
          </w:tcPr>
          <w:p>
            <w:r/>
            <w:r>
              <w:rPr>
                <w:rFonts w:ascii="Arial" w:hAnsi="Arial"/>
                <w:b/>
                <w:color w:val="0B1F3A"/>
                <w:sz w:val="17"/>
              </w:rPr>
              <w:t>Fee</w:t>
            </w:r>
          </w:p>
        </w:tc>
        <w:tc>
          <w:tcPr>
            <w:tcW w:type="dxa" w:w="5184"/>
            <w:vAlign w:val="top"/>
          </w:tcPr>
          <w:p>
            <w:r/>
            <w:r>
              <w:rPr>
                <w:rFonts w:ascii="Arial" w:hAnsi="Arial"/>
                <w:b w:val="0"/>
                <w:color w:val="1F2937"/>
                <w:sz w:val="17"/>
              </w:rPr>
              <w:t>£2,500-£5,000 per participant</w:t>
            </w:r>
          </w:p>
        </w:tc>
      </w:tr>
      <w:tr>
        <w:tc>
          <w:tcPr>
            <w:tcW w:type="dxa" w:w="5184"/>
            <w:vAlign w:val="top"/>
            <w:shd w:fill="F3F6FA"/>
          </w:tcPr>
          <w:p>
            <w:r/>
            <w:r>
              <w:rPr>
                <w:rFonts w:ascii="Arial" w:hAnsi="Arial"/>
                <w:b/>
                <w:color w:val="0B1F3A"/>
                <w:sz w:val="17"/>
              </w:rPr>
              <w:t>Primary output</w:t>
            </w:r>
          </w:p>
        </w:tc>
        <w:tc>
          <w:tcPr>
            <w:tcW w:type="dxa" w:w="5184"/>
            <w:vAlign w:val="top"/>
          </w:tcPr>
          <w:p>
            <w:r/>
            <w:r>
              <w:rPr>
                <w:rFonts w:ascii="Arial" w:hAnsi="Arial"/>
                <w:b w:val="0"/>
                <w:color w:val="1F2937"/>
                <w:sz w:val="17"/>
              </w:rPr>
              <w:t>Participants produce a board-level ESG strategy, partnership model and funded project portfolio plan.</w:t>
            </w:r>
          </w:p>
        </w:tc>
      </w:tr>
    </w:tbl>
    <w:p>
      <w:pPr>
        <w:pStyle w:val="Heading2"/>
      </w:pPr>
      <w:r>
        <w:t>Who should attend</w:t>
      </w:r>
    </w:p>
    <w:p>
      <w:pPr>
        <w:spacing w:after="100"/>
      </w:pPr>
      <w:r>
        <w:t>This fellowship is designed for CEOs, trustees, senior leaders, philanthropists, public-interest professionals and ecosystem builders.</w:t>
      </w:r>
    </w:p>
    <w:p>
      <w:pPr>
        <w:pStyle w:val="Heading2"/>
      </w:pPr>
      <w:r>
        <w:t>Why it sells in the UK market</w:t>
      </w:r>
    </w:p>
    <w:p>
      <w:pPr>
        <w:spacing w:after="100"/>
      </w:pPr>
      <w:r>
        <w:t>The UK market values credible, outcome-oriented learning that supports career relevance, organisational capability and professional confidence. This programme should therefore emphasise practical outputs, clear learning structure, credible assessment, and direct relevance to charities, social enterprises, ESG teams and mission-led organisations.</w:t>
      </w:r>
    </w:p>
    <w:p>
      <w:pPr>
        <w:pStyle w:val="Heading2"/>
      </w:pPr>
      <w:r>
        <w:t>Benefits</w:t>
      </w:r>
    </w:p>
    <w:p>
      <w:pPr>
        <w:pStyle w:val="ListBullet"/>
      </w:pPr>
      <w:r>
        <w:t>Develop practical tools that can be used immediately.</w:t>
      </w:r>
    </w:p>
    <w:p>
      <w:pPr>
        <w:pStyle w:val="ListBullet"/>
      </w:pPr>
      <w:r>
        <w:t>Strengthen confidence in professional, funder or board conversations.</w:t>
      </w:r>
    </w:p>
    <w:p>
      <w:pPr>
        <w:pStyle w:val="ListBullet"/>
      </w:pPr>
      <w:r>
        <w:t>Build evidence for future LSSE certification or Society progression.</w:t>
      </w:r>
    </w:p>
    <w:p>
      <w:pPr>
        <w:pStyle w:val="ListBullet"/>
      </w:pPr>
      <w:r>
        <w:t>Learn within a serious institutional framework rather than a generic online course.</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ESG PROGRAMME PAGE</w:t>
              <w:br/>
            </w:r>
            <w:r>
              <w:rPr>
                <w:rFonts w:ascii="Arial" w:hAnsi="Arial"/>
                <w:b/>
                <w:color w:val="FFFFFF"/>
                <w:sz w:val="36"/>
              </w:rPr>
              <w:t>14. Corporate ESG Execution Workshops</w:t>
            </w:r>
            <w:r>
              <w:rPr>
                <w:rFonts w:ascii="Arial" w:hAnsi="Arial"/>
                <w:color w:val="DDE6F0"/>
                <w:sz w:val="18"/>
              </w:rPr>
              <w:br/>
              <w:t>Bespoke ESG training for teams, institutions and boards.</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F3F6FA"/>
          </w:tcPr>
          <w:p>
            <w:r/>
            <w:r>
              <w:rPr>
                <w:rFonts w:ascii="Arial" w:hAnsi="Arial"/>
                <w:b/>
                <w:color w:val="0B1F3A"/>
                <w:sz w:val="17"/>
              </w:rPr>
              <w:t>Duration</w:t>
            </w:r>
          </w:p>
        </w:tc>
        <w:tc>
          <w:tcPr>
            <w:tcW w:type="dxa" w:w="5184"/>
            <w:vAlign w:val="top"/>
          </w:tcPr>
          <w:p>
            <w:r/>
            <w:r>
              <w:rPr>
                <w:rFonts w:ascii="Arial" w:hAnsi="Arial"/>
                <w:b w:val="0"/>
                <w:color w:val="1F2937"/>
                <w:sz w:val="17"/>
              </w:rPr>
              <w:t>1-2 days</w:t>
            </w:r>
          </w:p>
        </w:tc>
      </w:tr>
      <w:tr>
        <w:tc>
          <w:tcPr>
            <w:tcW w:type="dxa" w:w="5184"/>
            <w:vAlign w:val="top"/>
            <w:shd w:fill="F3F6FA"/>
          </w:tcPr>
          <w:p>
            <w:r/>
            <w:r>
              <w:rPr>
                <w:rFonts w:ascii="Arial" w:hAnsi="Arial"/>
                <w:b/>
                <w:color w:val="0B1F3A"/>
                <w:sz w:val="17"/>
              </w:rPr>
              <w:t>Fee</w:t>
            </w:r>
          </w:p>
        </w:tc>
        <w:tc>
          <w:tcPr>
            <w:tcW w:type="dxa" w:w="5184"/>
            <w:vAlign w:val="top"/>
          </w:tcPr>
          <w:p>
            <w:r/>
            <w:r>
              <w:rPr>
                <w:rFonts w:ascii="Arial" w:hAnsi="Arial"/>
                <w:b w:val="0"/>
                <w:color w:val="1F2937"/>
                <w:sz w:val="17"/>
              </w:rPr>
              <w:t>£5,000-£15,000 per engagement</w:t>
            </w:r>
          </w:p>
        </w:tc>
      </w:tr>
      <w:tr>
        <w:tc>
          <w:tcPr>
            <w:tcW w:type="dxa" w:w="5184"/>
            <w:vAlign w:val="top"/>
            <w:shd w:fill="F3F6FA"/>
          </w:tcPr>
          <w:p>
            <w:r/>
            <w:r>
              <w:rPr>
                <w:rFonts w:ascii="Arial" w:hAnsi="Arial"/>
                <w:b/>
                <w:color w:val="0B1F3A"/>
                <w:sz w:val="17"/>
              </w:rPr>
              <w:t>Primary output</w:t>
            </w:r>
          </w:p>
        </w:tc>
        <w:tc>
          <w:tcPr>
            <w:tcW w:type="dxa" w:w="5184"/>
            <w:vAlign w:val="top"/>
          </w:tcPr>
          <w:p>
            <w:r/>
            <w:r>
              <w:rPr>
                <w:rFonts w:ascii="Arial" w:hAnsi="Arial"/>
                <w:b w:val="0"/>
                <w:color w:val="1F2937"/>
                <w:sz w:val="17"/>
              </w:rPr>
              <w:t>Outputs may include an ESG training pack, staff engagement plan, community partnership concept and reporting checklist.</w:t>
            </w:r>
          </w:p>
        </w:tc>
      </w:tr>
    </w:tbl>
    <w:p>
      <w:pPr>
        <w:pStyle w:val="Heading2"/>
      </w:pPr>
      <w:r>
        <w:t>Who should attend</w:t>
      </w:r>
    </w:p>
    <w:p>
      <w:pPr>
        <w:spacing w:after="100"/>
      </w:pPr>
      <w:r>
        <w:t>These workshops support organisations seeking staff engagement, board alignment, ESG awareness, community partnership design or implementation planning.</w:t>
      </w:r>
    </w:p>
    <w:p>
      <w:pPr>
        <w:pStyle w:val="Heading2"/>
      </w:pPr>
      <w:r>
        <w:t>Why it sells in the UK market</w:t>
      </w:r>
    </w:p>
    <w:p>
      <w:pPr>
        <w:spacing w:after="100"/>
      </w:pPr>
      <w:r>
        <w:t>The UK market values credible, outcome-oriented learning that supports career relevance, organisational capability and professional confidence. This programme should therefore emphasise practical outputs, clear learning structure, credible assessment, and direct relevance to charities, social enterprises, ESG teams and mission-led organisations.</w:t>
      </w:r>
    </w:p>
    <w:p>
      <w:pPr>
        <w:pStyle w:val="Heading2"/>
      </w:pPr>
      <w:r>
        <w:t>Benefits</w:t>
      </w:r>
    </w:p>
    <w:p>
      <w:pPr>
        <w:pStyle w:val="ListBullet"/>
      </w:pPr>
      <w:r>
        <w:t>Develop practical tools that can be used immediately.</w:t>
      </w:r>
    </w:p>
    <w:p>
      <w:pPr>
        <w:pStyle w:val="ListBullet"/>
      </w:pPr>
      <w:r>
        <w:t>Strengthen confidence in professional, funder or board conversations.</w:t>
      </w:r>
    </w:p>
    <w:p>
      <w:pPr>
        <w:pStyle w:val="ListBullet"/>
      </w:pPr>
      <w:r>
        <w:t>Build evidence for future LSSE certification or Society progression.</w:t>
      </w:r>
    </w:p>
    <w:p>
      <w:pPr>
        <w:pStyle w:val="ListBullet"/>
      </w:pPr>
      <w:r>
        <w:t>Learn within a serious institutional framework rather than a generic online course.</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RECOGNITION PATHWAY</w:t>
              <w:br/>
            </w:r>
            <w:r>
              <w:rPr>
                <w:rFonts w:ascii="Arial" w:hAnsi="Arial"/>
                <w:b/>
                <w:color w:val="FFFFFF"/>
                <w:sz w:val="36"/>
              </w:rPr>
              <w:t>15. Social Entrepreneur Certification</w:t>
            </w:r>
            <w:r>
              <w:rPr>
                <w:rFonts w:ascii="Arial" w:hAnsi="Arial"/>
                <w:color w:val="DDE6F0"/>
                <w:sz w:val="18"/>
              </w:rPr>
              <w:br/>
              <w:t>Evidence-led professional recognition for social entrepreneurs</w:t>
            </w:r>
          </w:p>
        </w:tc>
      </w:tr>
    </w:tbl>
    <w:p>
      <w:pPr>
        <w:spacing w:after="100"/>
      </w:pPr>
      <w:r>
        <w:t>The LSSE Certified Social Entrepreneur Pathway recognises individuals at different stages of professional maturity. It is separate from programme attendance and is awarded through evidence-based assessment, portfolio review and panel consideration where applicable.</w:t>
      </w:r>
    </w:p>
    <w:tbl>
      <w:tblPr>
        <w:tblStyle w:val="TableGrid"/>
        <w:tblW w:type="auto" w:w="0"/>
        <w:jc w:val="center"/>
        <w:tblLook w:firstColumn="1" w:firstRow="1" w:lastColumn="0" w:lastRow="0" w:noHBand="0" w:noVBand="1" w:val="04A0"/>
      </w:tblPr>
      <w:tblGrid>
        <w:gridCol w:w="2592"/>
        <w:gridCol w:w="2592"/>
        <w:gridCol w:w="2592"/>
        <w:gridCol w:w="2592"/>
      </w:tblGrid>
      <w:tr>
        <w:tc>
          <w:tcPr>
            <w:tcW w:type="dxa" w:w="2592"/>
            <w:vAlign w:val="top"/>
            <w:shd w:fill="0B1F3A"/>
          </w:tcPr>
          <w:p>
            <w:r/>
            <w:r>
              <w:rPr>
                <w:rFonts w:ascii="Arial" w:hAnsi="Arial"/>
                <w:b/>
                <w:color w:val="FFFFFF"/>
                <w:sz w:val="16"/>
              </w:rPr>
              <w:t>Level</w:t>
            </w:r>
          </w:p>
        </w:tc>
        <w:tc>
          <w:tcPr>
            <w:tcW w:type="dxa" w:w="2592"/>
            <w:vAlign w:val="top"/>
            <w:shd w:fill="0B1F3A"/>
          </w:tcPr>
          <w:p>
            <w:r/>
            <w:r>
              <w:rPr>
                <w:rFonts w:ascii="Arial" w:hAnsi="Arial"/>
                <w:b/>
                <w:color w:val="FFFFFF"/>
                <w:sz w:val="16"/>
              </w:rPr>
              <w:t>Grade</w:t>
            </w:r>
          </w:p>
        </w:tc>
        <w:tc>
          <w:tcPr>
            <w:tcW w:type="dxa" w:w="2592"/>
            <w:vAlign w:val="top"/>
            <w:shd w:fill="0B1F3A"/>
          </w:tcPr>
          <w:p>
            <w:r/>
            <w:r>
              <w:rPr>
                <w:rFonts w:ascii="Arial" w:hAnsi="Arial"/>
                <w:b/>
                <w:color w:val="FFFFFF"/>
                <w:sz w:val="16"/>
              </w:rPr>
              <w:t>Post-nominal</w:t>
            </w:r>
          </w:p>
        </w:tc>
        <w:tc>
          <w:tcPr>
            <w:tcW w:type="dxa" w:w="2592"/>
            <w:vAlign w:val="top"/>
            <w:shd w:fill="0B1F3A"/>
          </w:tcPr>
          <w:p>
            <w:r/>
            <w:r>
              <w:rPr>
                <w:rFonts w:ascii="Arial" w:hAnsi="Arial"/>
                <w:b/>
                <w:color w:val="FFFFFF"/>
                <w:sz w:val="16"/>
              </w:rPr>
              <w:t>Recognition focus</w:t>
            </w:r>
          </w:p>
        </w:tc>
      </w:tr>
      <w:tr>
        <w:tc>
          <w:tcPr>
            <w:tcW w:type="dxa" w:w="2592"/>
            <w:vAlign w:val="top"/>
          </w:tcPr>
          <w:p>
            <w:r/>
            <w:r>
              <w:rPr>
                <w:rFonts w:ascii="Arial" w:hAnsi="Arial"/>
                <w:b w:val="0"/>
                <w:color w:val="1F2937"/>
                <w:sz w:val="16"/>
              </w:rPr>
              <w:t>1</w:t>
            </w:r>
          </w:p>
        </w:tc>
        <w:tc>
          <w:tcPr>
            <w:tcW w:type="dxa" w:w="2592"/>
            <w:vAlign w:val="top"/>
          </w:tcPr>
          <w:p>
            <w:r/>
            <w:r>
              <w:rPr>
                <w:rFonts w:ascii="Arial" w:hAnsi="Arial"/>
                <w:b w:val="0"/>
                <w:color w:val="1F2937"/>
                <w:sz w:val="16"/>
              </w:rPr>
              <w:t>Associate Social Entrepreneur</w:t>
            </w:r>
          </w:p>
        </w:tc>
        <w:tc>
          <w:tcPr>
            <w:tcW w:type="dxa" w:w="2592"/>
            <w:vAlign w:val="top"/>
          </w:tcPr>
          <w:p>
            <w:r/>
            <w:r>
              <w:rPr>
                <w:rFonts w:ascii="Arial" w:hAnsi="Arial"/>
                <w:b w:val="0"/>
                <w:color w:val="1F2937"/>
                <w:sz w:val="16"/>
              </w:rPr>
              <w:t>ASE-LSSE</w:t>
            </w:r>
          </w:p>
        </w:tc>
        <w:tc>
          <w:tcPr>
            <w:tcW w:type="dxa" w:w="2592"/>
            <w:vAlign w:val="top"/>
          </w:tcPr>
          <w:p>
            <w:r/>
            <w:r>
              <w:rPr>
                <w:rFonts w:ascii="Arial" w:hAnsi="Arial"/>
                <w:b w:val="0"/>
                <w:color w:val="1F2937"/>
                <w:sz w:val="16"/>
              </w:rPr>
              <w:t>Foundation recognition</w:t>
            </w:r>
          </w:p>
        </w:tc>
      </w:tr>
      <w:tr>
        <w:tc>
          <w:tcPr>
            <w:tcW w:type="dxa" w:w="2592"/>
            <w:vAlign w:val="top"/>
          </w:tcPr>
          <w:p>
            <w:r/>
            <w:r>
              <w:rPr>
                <w:rFonts w:ascii="Arial" w:hAnsi="Arial"/>
                <w:b w:val="0"/>
                <w:color w:val="1F2937"/>
                <w:sz w:val="16"/>
              </w:rPr>
              <w:t>2</w:t>
            </w:r>
          </w:p>
        </w:tc>
        <w:tc>
          <w:tcPr>
            <w:tcW w:type="dxa" w:w="2592"/>
            <w:vAlign w:val="top"/>
          </w:tcPr>
          <w:p>
            <w:r/>
            <w:r>
              <w:rPr>
                <w:rFonts w:ascii="Arial" w:hAnsi="Arial"/>
                <w:b w:val="0"/>
                <w:color w:val="1F2937"/>
                <w:sz w:val="16"/>
              </w:rPr>
              <w:t>Certified Social Entrepreneur</w:t>
            </w:r>
          </w:p>
        </w:tc>
        <w:tc>
          <w:tcPr>
            <w:tcW w:type="dxa" w:w="2592"/>
            <w:vAlign w:val="top"/>
          </w:tcPr>
          <w:p>
            <w:r/>
            <w:r>
              <w:rPr>
                <w:rFonts w:ascii="Arial" w:hAnsi="Arial"/>
                <w:b w:val="0"/>
                <w:color w:val="1F2937"/>
                <w:sz w:val="16"/>
              </w:rPr>
              <w:t>CSE-LSSE</w:t>
            </w:r>
          </w:p>
        </w:tc>
        <w:tc>
          <w:tcPr>
            <w:tcW w:type="dxa" w:w="2592"/>
            <w:vAlign w:val="top"/>
          </w:tcPr>
          <w:p>
            <w:r/>
            <w:r>
              <w:rPr>
                <w:rFonts w:ascii="Arial" w:hAnsi="Arial"/>
                <w:b w:val="0"/>
                <w:color w:val="1F2937"/>
                <w:sz w:val="16"/>
              </w:rPr>
              <w:t>Core professional credential</w:t>
            </w:r>
          </w:p>
        </w:tc>
      </w:tr>
      <w:tr>
        <w:tc>
          <w:tcPr>
            <w:tcW w:type="dxa" w:w="2592"/>
            <w:vAlign w:val="top"/>
          </w:tcPr>
          <w:p>
            <w:r/>
            <w:r>
              <w:rPr>
                <w:rFonts w:ascii="Arial" w:hAnsi="Arial"/>
                <w:b w:val="0"/>
                <w:color w:val="1F2937"/>
                <w:sz w:val="16"/>
              </w:rPr>
              <w:t>3</w:t>
            </w:r>
          </w:p>
        </w:tc>
        <w:tc>
          <w:tcPr>
            <w:tcW w:type="dxa" w:w="2592"/>
            <w:vAlign w:val="top"/>
          </w:tcPr>
          <w:p>
            <w:r/>
            <w:r>
              <w:rPr>
                <w:rFonts w:ascii="Arial" w:hAnsi="Arial"/>
                <w:b w:val="0"/>
                <w:color w:val="1F2937"/>
                <w:sz w:val="16"/>
              </w:rPr>
              <w:t>Professional Social Entrepreneur</w:t>
            </w:r>
          </w:p>
        </w:tc>
        <w:tc>
          <w:tcPr>
            <w:tcW w:type="dxa" w:w="2592"/>
            <w:vAlign w:val="top"/>
          </w:tcPr>
          <w:p>
            <w:r/>
            <w:r>
              <w:rPr>
                <w:rFonts w:ascii="Arial" w:hAnsi="Arial"/>
                <w:b w:val="0"/>
                <w:color w:val="1F2937"/>
                <w:sz w:val="16"/>
              </w:rPr>
              <w:t>PSE-LSSE</w:t>
            </w:r>
          </w:p>
        </w:tc>
        <w:tc>
          <w:tcPr>
            <w:tcW w:type="dxa" w:w="2592"/>
            <w:vAlign w:val="top"/>
          </w:tcPr>
          <w:p>
            <w:r/>
            <w:r>
              <w:rPr>
                <w:rFonts w:ascii="Arial" w:hAnsi="Arial"/>
                <w:b w:val="0"/>
                <w:color w:val="1F2937"/>
                <w:sz w:val="16"/>
              </w:rPr>
              <w:t>Experienced practitioner recognition</w:t>
            </w:r>
          </w:p>
        </w:tc>
      </w:tr>
      <w:tr>
        <w:tc>
          <w:tcPr>
            <w:tcW w:type="dxa" w:w="2592"/>
            <w:vAlign w:val="top"/>
          </w:tcPr>
          <w:p>
            <w:r/>
            <w:r>
              <w:rPr>
                <w:rFonts w:ascii="Arial" w:hAnsi="Arial"/>
                <w:b w:val="0"/>
                <w:color w:val="1F2937"/>
                <w:sz w:val="16"/>
              </w:rPr>
              <w:t>4</w:t>
            </w:r>
          </w:p>
        </w:tc>
        <w:tc>
          <w:tcPr>
            <w:tcW w:type="dxa" w:w="2592"/>
            <w:vAlign w:val="top"/>
          </w:tcPr>
          <w:p>
            <w:r/>
            <w:r>
              <w:rPr>
                <w:rFonts w:ascii="Arial" w:hAnsi="Arial"/>
                <w:b w:val="0"/>
                <w:color w:val="1F2937"/>
                <w:sz w:val="16"/>
              </w:rPr>
              <w:t>Fellow of Social Entrepreneurship</w:t>
            </w:r>
          </w:p>
        </w:tc>
        <w:tc>
          <w:tcPr>
            <w:tcW w:type="dxa" w:w="2592"/>
            <w:vAlign w:val="top"/>
          </w:tcPr>
          <w:p>
            <w:r/>
            <w:r>
              <w:rPr>
                <w:rFonts w:ascii="Arial" w:hAnsi="Arial"/>
                <w:b w:val="0"/>
                <w:color w:val="1F2937"/>
                <w:sz w:val="16"/>
              </w:rPr>
              <w:t>FSE-LSSE</w:t>
            </w:r>
          </w:p>
        </w:tc>
        <w:tc>
          <w:tcPr>
            <w:tcW w:type="dxa" w:w="2592"/>
            <w:vAlign w:val="top"/>
          </w:tcPr>
          <w:p>
            <w:r/>
            <w:r>
              <w:rPr>
                <w:rFonts w:ascii="Arial" w:hAnsi="Arial"/>
                <w:b w:val="0"/>
                <w:color w:val="1F2937"/>
                <w:sz w:val="16"/>
              </w:rPr>
              <w:t>Senior leadership and contribution</w:t>
            </w:r>
          </w:p>
        </w:tc>
      </w:tr>
    </w:tbl>
    <w:p>
      <w:pPr>
        <w:pStyle w:val="Heading2"/>
      </w:pPr>
      <w:r>
        <w:t>Why this matters</w:t>
      </w:r>
    </w:p>
    <w:p>
      <w:pPr>
        <w:spacing w:after="100"/>
      </w:pPr>
      <w:r>
        <w:t>Social enterprise is a growing field, but recognition remains fragmented. LSSE can create a credible framework that recognises capability, evidence, leadership and contribution while protecting the integrity of post-nominals through proper assessment.</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CERTIFICATION PAGE</w:t>
              <w:br/>
            </w:r>
            <w:r>
              <w:rPr>
                <w:rFonts w:ascii="Arial" w:hAnsi="Arial"/>
                <w:b/>
                <w:color w:val="FFFFFF"/>
                <w:sz w:val="36"/>
              </w:rPr>
              <w:t>16. Associate Social Entrepreneur</w:t>
            </w:r>
            <w:r>
              <w:rPr>
                <w:rFonts w:ascii="Arial" w:hAnsi="Arial"/>
                <w:color w:val="DDE6F0"/>
                <w:sz w:val="18"/>
              </w:rPr>
              <w:br/>
              <w:t>Professional recognition pathway</w:t>
            </w:r>
          </w:p>
        </w:tc>
      </w:tr>
    </w:tbl>
    <w:p>
      <w:pPr>
        <w:spacing w:after="100"/>
      </w:pPr>
      <w:r>
        <w:t>For students, emerging practitioners, early-stage founders and community organisers.</w:t>
      </w:r>
    </w:p>
    <w:p>
      <w:pPr>
        <w:pStyle w:val="Heading2"/>
      </w:pPr>
      <w:r>
        <w:t>Assessment route</w:t>
      </w:r>
    </w:p>
    <w:p>
      <w:pPr>
        <w:spacing w:after="100"/>
      </w:pPr>
      <w:r>
        <w:t>Course completion or equivalent learning evidence, foundation portfolio and reflective statement.</w:t>
      </w:r>
    </w:p>
    <w:p>
      <w:pPr>
        <w:pStyle w:val="Heading2"/>
      </w:pPr>
      <w:r>
        <w:t>Evidence expected</w:t>
      </w:r>
    </w:p>
    <w:p>
      <w:pPr>
        <w:pStyle w:val="ListBullet"/>
      </w:pPr>
      <w:r>
        <w:t>Social purpose and problem definition.</w:t>
      </w:r>
    </w:p>
    <w:p>
      <w:pPr>
        <w:pStyle w:val="ListBullet"/>
      </w:pPr>
      <w:r>
        <w:t>Evidence of delivery or leadership contribution.</w:t>
      </w:r>
    </w:p>
    <w:p>
      <w:pPr>
        <w:pStyle w:val="ListBullet"/>
      </w:pPr>
      <w:r>
        <w:t>Stakeholder or beneficiary understanding.</w:t>
      </w:r>
    </w:p>
    <w:p>
      <w:pPr>
        <w:pStyle w:val="ListBullet"/>
      </w:pPr>
      <w:r>
        <w:t>Governance, accountability or ethical practice.</w:t>
      </w:r>
    </w:p>
    <w:p>
      <w:pPr>
        <w:pStyle w:val="ListBullet"/>
      </w:pPr>
      <w:r>
        <w:t>Impact, outcomes or contribution evidence appropriate to the level.</w:t>
      </w:r>
    </w:p>
    <w:tbl>
      <w:tblPr>
        <w:tblStyle w:val="TableGrid"/>
        <w:tblW w:type="auto" w:w="0"/>
        <w:jc w:val="center"/>
        <w:tblLook w:firstColumn="1" w:firstRow="1" w:lastColumn="0" w:lastRow="0" w:noHBand="0" w:noVBand="1" w:val="04A0"/>
      </w:tblPr>
      <w:tblGrid>
        <w:gridCol w:w="10368"/>
      </w:tblGrid>
      <w:tr>
        <w:tc>
          <w:tcPr>
            <w:tcW w:type="dxa" w:w="10368"/>
            <w:vAlign w:val="top"/>
            <w:shd w:fill="F3F6FA"/>
          </w:tcPr>
          <w:p>
            <w:pPr>
              <w:spacing w:after="120" w:before="120"/>
            </w:pPr>
            <w:r>
              <w:rPr>
                <w:rFonts w:ascii="Arial" w:hAnsi="Arial"/>
                <w:b/>
                <w:color w:val="0B1F3A"/>
                <w:sz w:val="21"/>
              </w:rPr>
              <w:t>Recognition outcome</w:t>
              <w:br/>
            </w:r>
            <w:r>
              <w:rPr>
                <w:rFonts w:ascii="Arial" w:hAnsi="Arial"/>
                <w:color w:val="1F2937"/>
                <w:sz w:val="18"/>
              </w:rPr>
              <w:t>Successful applicants may use the ASE-LSSE post-nominal in accordance with LSSE usage guidance.</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CERTIFICATION PAGE</w:t>
              <w:br/>
            </w:r>
            <w:r>
              <w:rPr>
                <w:rFonts w:ascii="Arial" w:hAnsi="Arial"/>
                <w:b/>
                <w:color w:val="FFFFFF"/>
                <w:sz w:val="36"/>
              </w:rPr>
              <w:t>17. Certified Social Entrepreneur</w:t>
            </w:r>
            <w:r>
              <w:rPr>
                <w:rFonts w:ascii="Arial" w:hAnsi="Arial"/>
                <w:color w:val="DDE6F0"/>
                <w:sz w:val="18"/>
              </w:rPr>
              <w:br/>
              <w:t>Professional recognition pathway</w:t>
            </w:r>
          </w:p>
        </w:tc>
      </w:tr>
    </w:tbl>
    <w:p>
      <w:pPr>
        <w:spacing w:after="100"/>
      </w:pPr>
      <w:r>
        <w:t>For founders, NGO leaders, CIC directors, charity managers and mission-led entrepreneurs.</w:t>
      </w:r>
    </w:p>
    <w:p>
      <w:pPr>
        <w:pStyle w:val="Heading2"/>
      </w:pPr>
      <w:r>
        <w:t>Assessment route</w:t>
      </w:r>
    </w:p>
    <w:p>
      <w:pPr>
        <w:spacing w:after="100"/>
      </w:pPr>
      <w:r>
        <w:t>Full portfolio, project or venture case study, structured assessment and final presentation.</w:t>
      </w:r>
    </w:p>
    <w:p>
      <w:pPr>
        <w:pStyle w:val="Heading2"/>
      </w:pPr>
      <w:r>
        <w:t>Evidence expected</w:t>
      </w:r>
    </w:p>
    <w:p>
      <w:pPr>
        <w:pStyle w:val="ListBullet"/>
      </w:pPr>
      <w:r>
        <w:t>Social purpose and problem definition.</w:t>
      </w:r>
    </w:p>
    <w:p>
      <w:pPr>
        <w:pStyle w:val="ListBullet"/>
      </w:pPr>
      <w:r>
        <w:t>Evidence of delivery or leadership contribution.</w:t>
      </w:r>
    </w:p>
    <w:p>
      <w:pPr>
        <w:pStyle w:val="ListBullet"/>
      </w:pPr>
      <w:r>
        <w:t>Stakeholder or beneficiary understanding.</w:t>
      </w:r>
    </w:p>
    <w:p>
      <w:pPr>
        <w:pStyle w:val="ListBullet"/>
      </w:pPr>
      <w:r>
        <w:t>Governance, accountability or ethical practice.</w:t>
      </w:r>
    </w:p>
    <w:p>
      <w:pPr>
        <w:pStyle w:val="ListBullet"/>
      </w:pPr>
      <w:r>
        <w:t>Impact, outcomes or contribution evidence appropriate to the level.</w:t>
      </w:r>
    </w:p>
    <w:tbl>
      <w:tblPr>
        <w:tblStyle w:val="TableGrid"/>
        <w:tblW w:type="auto" w:w="0"/>
        <w:jc w:val="center"/>
        <w:tblLook w:firstColumn="1" w:firstRow="1" w:lastColumn="0" w:lastRow="0" w:noHBand="0" w:noVBand="1" w:val="04A0"/>
      </w:tblPr>
      <w:tblGrid>
        <w:gridCol w:w="10368"/>
      </w:tblGrid>
      <w:tr>
        <w:tc>
          <w:tcPr>
            <w:tcW w:type="dxa" w:w="10368"/>
            <w:vAlign w:val="top"/>
            <w:shd w:fill="F3F6FA"/>
          </w:tcPr>
          <w:p>
            <w:pPr>
              <w:spacing w:after="120" w:before="120"/>
            </w:pPr>
            <w:r>
              <w:rPr>
                <w:rFonts w:ascii="Arial" w:hAnsi="Arial"/>
                <w:b/>
                <w:color w:val="0B1F3A"/>
                <w:sz w:val="21"/>
              </w:rPr>
              <w:t>Recognition outcome</w:t>
              <w:br/>
            </w:r>
            <w:r>
              <w:rPr>
                <w:rFonts w:ascii="Arial" w:hAnsi="Arial"/>
                <w:color w:val="1F2937"/>
                <w:sz w:val="18"/>
              </w:rPr>
              <w:t>Successful applicants may use the CSE-LSSE post-nominal in accordance with LSSE usage guidance.</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CERTIFICATION PAGE</w:t>
              <w:br/>
            </w:r>
            <w:r>
              <w:rPr>
                <w:rFonts w:ascii="Arial" w:hAnsi="Arial"/>
                <w:b/>
                <w:color w:val="FFFFFF"/>
                <w:sz w:val="36"/>
              </w:rPr>
              <w:t>18. Professional Social Entrepreneur</w:t>
            </w:r>
            <w:r>
              <w:rPr>
                <w:rFonts w:ascii="Arial" w:hAnsi="Arial"/>
                <w:color w:val="DDE6F0"/>
                <w:sz w:val="18"/>
              </w:rPr>
              <w:br/>
              <w:t>Professional recognition pathway</w:t>
            </w:r>
          </w:p>
        </w:tc>
      </w:tr>
    </w:tbl>
    <w:p>
      <w:pPr>
        <w:spacing w:after="100"/>
      </w:pPr>
      <w:r>
        <w:t>For practitioners with sustained delivery evidence, beneficiaries, income, grants, contracts or partnerships.</w:t>
      </w:r>
    </w:p>
    <w:p>
      <w:pPr>
        <w:pStyle w:val="Heading2"/>
      </w:pPr>
      <w:r>
        <w:t>Assessment route</w:t>
      </w:r>
    </w:p>
    <w:p>
      <w:pPr>
        <w:spacing w:after="100"/>
      </w:pPr>
      <w:r>
        <w:t>Portfolio review, case study evaluation, professional interview and panel assessment.</w:t>
      </w:r>
    </w:p>
    <w:p>
      <w:pPr>
        <w:pStyle w:val="Heading2"/>
      </w:pPr>
      <w:r>
        <w:t>Evidence expected</w:t>
      </w:r>
    </w:p>
    <w:p>
      <w:pPr>
        <w:pStyle w:val="ListBullet"/>
      </w:pPr>
      <w:r>
        <w:t>Social purpose and problem definition.</w:t>
      </w:r>
    </w:p>
    <w:p>
      <w:pPr>
        <w:pStyle w:val="ListBullet"/>
      </w:pPr>
      <w:r>
        <w:t>Evidence of delivery or leadership contribution.</w:t>
      </w:r>
    </w:p>
    <w:p>
      <w:pPr>
        <w:pStyle w:val="ListBullet"/>
      </w:pPr>
      <w:r>
        <w:t>Stakeholder or beneficiary understanding.</w:t>
      </w:r>
    </w:p>
    <w:p>
      <w:pPr>
        <w:pStyle w:val="ListBullet"/>
      </w:pPr>
      <w:r>
        <w:t>Governance, accountability or ethical practice.</w:t>
      </w:r>
    </w:p>
    <w:p>
      <w:pPr>
        <w:pStyle w:val="ListBullet"/>
      </w:pPr>
      <w:r>
        <w:t>Impact, outcomes or contribution evidence appropriate to the level.</w:t>
      </w:r>
    </w:p>
    <w:tbl>
      <w:tblPr>
        <w:tblStyle w:val="TableGrid"/>
        <w:tblW w:type="auto" w:w="0"/>
        <w:jc w:val="center"/>
        <w:tblLook w:firstColumn="1" w:firstRow="1" w:lastColumn="0" w:lastRow="0" w:noHBand="0" w:noVBand="1" w:val="04A0"/>
      </w:tblPr>
      <w:tblGrid>
        <w:gridCol w:w="10368"/>
      </w:tblGrid>
      <w:tr>
        <w:tc>
          <w:tcPr>
            <w:tcW w:type="dxa" w:w="10368"/>
            <w:vAlign w:val="top"/>
            <w:shd w:fill="F3F6FA"/>
          </w:tcPr>
          <w:p>
            <w:pPr>
              <w:spacing w:after="120" w:before="120"/>
            </w:pPr>
            <w:r>
              <w:rPr>
                <w:rFonts w:ascii="Arial" w:hAnsi="Arial"/>
                <w:b/>
                <w:color w:val="0B1F3A"/>
                <w:sz w:val="21"/>
              </w:rPr>
              <w:t>Recognition outcome</w:t>
              <w:br/>
            </w:r>
            <w:r>
              <w:rPr>
                <w:rFonts w:ascii="Arial" w:hAnsi="Arial"/>
                <w:color w:val="1F2937"/>
                <w:sz w:val="18"/>
              </w:rPr>
              <w:t>Successful applicants may use the PSE-LSSE post-nominal in accordance with LSSE usage guidance.</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CERTIFICATION PAGE</w:t>
              <w:br/>
            </w:r>
            <w:r>
              <w:rPr>
                <w:rFonts w:ascii="Arial" w:hAnsi="Arial"/>
                <w:b/>
                <w:color w:val="FFFFFF"/>
                <w:sz w:val="36"/>
              </w:rPr>
              <w:t>19. Fellow of Social Entrepreneurship</w:t>
            </w:r>
            <w:r>
              <w:rPr>
                <w:rFonts w:ascii="Arial" w:hAnsi="Arial"/>
                <w:color w:val="DDE6F0"/>
                <w:sz w:val="18"/>
              </w:rPr>
              <w:br/>
              <w:t>Professional recognition pathway</w:t>
            </w:r>
          </w:p>
        </w:tc>
      </w:tr>
    </w:tbl>
    <w:p>
      <w:pPr>
        <w:spacing w:after="100"/>
      </w:pPr>
      <w:r>
        <w:t>For CEOs, trustees, philanthropists, civic leaders, impact investors and ecosystem builders.</w:t>
      </w:r>
    </w:p>
    <w:p>
      <w:pPr>
        <w:pStyle w:val="Heading2"/>
      </w:pPr>
      <w:r>
        <w:t>Assessment route</w:t>
      </w:r>
    </w:p>
    <w:p>
      <w:pPr>
        <w:spacing w:after="100"/>
      </w:pPr>
      <w:r>
        <w:t>Nomination or direct application, evidence dossier, references and panel approval.</w:t>
      </w:r>
    </w:p>
    <w:p>
      <w:pPr>
        <w:pStyle w:val="Heading2"/>
      </w:pPr>
      <w:r>
        <w:t>Evidence expected</w:t>
      </w:r>
    </w:p>
    <w:p>
      <w:pPr>
        <w:pStyle w:val="ListBullet"/>
      </w:pPr>
      <w:r>
        <w:t>Social purpose and problem definition.</w:t>
      </w:r>
    </w:p>
    <w:p>
      <w:pPr>
        <w:pStyle w:val="ListBullet"/>
      </w:pPr>
      <w:r>
        <w:t>Evidence of delivery or leadership contribution.</w:t>
      </w:r>
    </w:p>
    <w:p>
      <w:pPr>
        <w:pStyle w:val="ListBullet"/>
      </w:pPr>
      <w:r>
        <w:t>Stakeholder or beneficiary understanding.</w:t>
      </w:r>
    </w:p>
    <w:p>
      <w:pPr>
        <w:pStyle w:val="ListBullet"/>
      </w:pPr>
      <w:r>
        <w:t>Governance, accountability or ethical practice.</w:t>
      </w:r>
    </w:p>
    <w:p>
      <w:pPr>
        <w:pStyle w:val="ListBullet"/>
      </w:pPr>
      <w:r>
        <w:t>Impact, outcomes or contribution evidence appropriate to the level.</w:t>
      </w:r>
    </w:p>
    <w:tbl>
      <w:tblPr>
        <w:tblStyle w:val="TableGrid"/>
        <w:tblW w:type="auto" w:w="0"/>
        <w:jc w:val="center"/>
        <w:tblLook w:firstColumn="1" w:firstRow="1" w:lastColumn="0" w:lastRow="0" w:noHBand="0" w:noVBand="1" w:val="04A0"/>
      </w:tblPr>
      <w:tblGrid>
        <w:gridCol w:w="10368"/>
      </w:tblGrid>
      <w:tr>
        <w:tc>
          <w:tcPr>
            <w:tcW w:type="dxa" w:w="10368"/>
            <w:vAlign w:val="top"/>
            <w:shd w:fill="F3F6FA"/>
          </w:tcPr>
          <w:p>
            <w:pPr>
              <w:spacing w:after="120" w:before="120"/>
            </w:pPr>
            <w:r>
              <w:rPr>
                <w:rFonts w:ascii="Arial" w:hAnsi="Arial"/>
                <w:b/>
                <w:color w:val="0B1F3A"/>
                <w:sz w:val="21"/>
              </w:rPr>
              <w:t>Recognition outcome</w:t>
              <w:br/>
            </w:r>
            <w:r>
              <w:rPr>
                <w:rFonts w:ascii="Arial" w:hAnsi="Arial"/>
                <w:color w:val="1F2937"/>
                <w:sz w:val="18"/>
              </w:rPr>
              <w:t>Successful applicants may use the FSE-LSSE post-nominal in accordance with LSSE usage guidance.</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CONTINUITY PLATFORM</w:t>
              <w:br/>
            </w:r>
            <w:r>
              <w:rPr>
                <w:rFonts w:ascii="Arial" w:hAnsi="Arial"/>
                <w:b/>
                <w:color w:val="FFFFFF"/>
                <w:sz w:val="36"/>
              </w:rPr>
              <w:t>20. LSSE Society of Social Entrepreneurs</w:t>
            </w:r>
            <w:r>
              <w:rPr>
                <w:rFonts w:ascii="Arial" w:hAnsi="Arial"/>
                <w:color w:val="DDE6F0"/>
                <w:sz w:val="18"/>
              </w:rPr>
              <w:br/>
              <w:t>The professional home for emerging and practising social entrepreneurs</w:t>
            </w:r>
          </w:p>
        </w:tc>
      </w:tr>
    </w:tbl>
    <w:p>
      <w:pPr>
        <w:spacing w:after="100"/>
      </w:pPr>
      <w:r>
        <w:t>The LSSE Society of Social Entrepreneurs provides a structured community for learners, graduates, recognised practitioners and fellows. It supports continuing professional development, peer learning, project clinics, member events, knowledge resources and long-term professional connection.</w:t>
      </w:r>
    </w:p>
    <w:tbl>
      <w:tblPr>
        <w:tblStyle w:val="TableGrid"/>
        <w:tblW w:type="auto" w:w="0"/>
        <w:jc w:val="center"/>
        <w:tblLook w:firstColumn="1" w:firstRow="1" w:lastColumn="0" w:lastRow="0" w:noHBand="0" w:noVBand="1" w:val="04A0"/>
      </w:tblPr>
      <w:tblGrid>
        <w:gridCol w:w="3456"/>
        <w:gridCol w:w="3456"/>
        <w:gridCol w:w="3456"/>
      </w:tblGrid>
      <w:tr>
        <w:tc>
          <w:tcPr>
            <w:tcW w:type="dxa" w:w="3456"/>
            <w:vAlign w:val="top"/>
            <w:shd w:fill="0B1F3A"/>
          </w:tcPr>
          <w:p>
            <w:r/>
            <w:r>
              <w:rPr>
                <w:rFonts w:ascii="Arial" w:hAnsi="Arial"/>
                <w:b/>
                <w:color w:val="FFFFFF"/>
                <w:sz w:val="16"/>
              </w:rPr>
              <w:t>Grade</w:t>
            </w:r>
          </w:p>
        </w:tc>
        <w:tc>
          <w:tcPr>
            <w:tcW w:type="dxa" w:w="3456"/>
            <w:vAlign w:val="top"/>
            <w:shd w:fill="0B1F3A"/>
          </w:tcPr>
          <w:p>
            <w:r/>
            <w:r>
              <w:rPr>
                <w:rFonts w:ascii="Arial" w:hAnsi="Arial"/>
                <w:b/>
                <w:color w:val="FFFFFF"/>
                <w:sz w:val="16"/>
              </w:rPr>
              <w:t>Annual fee</w:t>
            </w:r>
          </w:p>
        </w:tc>
        <w:tc>
          <w:tcPr>
            <w:tcW w:type="dxa" w:w="3456"/>
            <w:vAlign w:val="top"/>
            <w:shd w:fill="0B1F3A"/>
          </w:tcPr>
          <w:p>
            <w:r/>
            <w:r>
              <w:rPr>
                <w:rFonts w:ascii="Arial" w:hAnsi="Arial"/>
                <w:b/>
                <w:color w:val="FFFFFF"/>
                <w:sz w:val="16"/>
              </w:rPr>
              <w:t>Core value</w:t>
            </w:r>
          </w:p>
        </w:tc>
      </w:tr>
      <w:tr>
        <w:tc>
          <w:tcPr>
            <w:tcW w:type="dxa" w:w="3456"/>
            <w:vAlign w:val="top"/>
          </w:tcPr>
          <w:p>
            <w:r/>
            <w:r>
              <w:rPr>
                <w:rFonts w:ascii="Arial" w:hAnsi="Arial"/>
                <w:b w:val="0"/>
                <w:color w:val="1F2937"/>
                <w:sz w:val="16"/>
              </w:rPr>
              <w:t>Student Affiliate</w:t>
            </w:r>
          </w:p>
        </w:tc>
        <w:tc>
          <w:tcPr>
            <w:tcW w:type="dxa" w:w="3456"/>
            <w:vAlign w:val="top"/>
          </w:tcPr>
          <w:p>
            <w:r/>
            <w:r>
              <w:rPr>
                <w:rFonts w:ascii="Arial" w:hAnsi="Arial"/>
                <w:b w:val="0"/>
                <w:color w:val="1F2937"/>
                <w:sz w:val="16"/>
              </w:rPr>
              <w:t>£49</w:t>
            </w:r>
          </w:p>
        </w:tc>
        <w:tc>
          <w:tcPr>
            <w:tcW w:type="dxa" w:w="3456"/>
            <w:vAlign w:val="top"/>
          </w:tcPr>
          <w:p>
            <w:r/>
            <w:r>
              <w:rPr>
                <w:rFonts w:ascii="Arial" w:hAnsi="Arial"/>
                <w:b w:val="0"/>
                <w:color w:val="1F2937"/>
                <w:sz w:val="16"/>
              </w:rPr>
              <w:t>Introductory resources, webinars and networking.</w:t>
            </w:r>
          </w:p>
        </w:tc>
      </w:tr>
      <w:tr>
        <w:tc>
          <w:tcPr>
            <w:tcW w:type="dxa" w:w="3456"/>
            <w:vAlign w:val="top"/>
          </w:tcPr>
          <w:p>
            <w:r/>
            <w:r>
              <w:rPr>
                <w:rFonts w:ascii="Arial" w:hAnsi="Arial"/>
                <w:b w:val="0"/>
                <w:color w:val="1F2937"/>
                <w:sz w:val="16"/>
              </w:rPr>
              <w:t>Associate Member</w:t>
            </w:r>
          </w:p>
        </w:tc>
        <w:tc>
          <w:tcPr>
            <w:tcW w:type="dxa" w:w="3456"/>
            <w:vAlign w:val="top"/>
          </w:tcPr>
          <w:p>
            <w:r/>
            <w:r>
              <w:rPr>
                <w:rFonts w:ascii="Arial" w:hAnsi="Arial"/>
                <w:b w:val="0"/>
                <w:color w:val="1F2937"/>
                <w:sz w:val="16"/>
              </w:rPr>
              <w:t>£95</w:t>
            </w:r>
          </w:p>
        </w:tc>
        <w:tc>
          <w:tcPr>
            <w:tcW w:type="dxa" w:w="3456"/>
            <w:vAlign w:val="top"/>
          </w:tcPr>
          <w:p>
            <w:r/>
            <w:r>
              <w:rPr>
                <w:rFonts w:ascii="Arial" w:hAnsi="Arial"/>
                <w:b w:val="0"/>
                <w:color w:val="1F2937"/>
                <w:sz w:val="16"/>
              </w:rPr>
              <w:t>Digital badge, member register, monthly clinics and events.</w:t>
            </w:r>
          </w:p>
        </w:tc>
      </w:tr>
      <w:tr>
        <w:tc>
          <w:tcPr>
            <w:tcW w:type="dxa" w:w="3456"/>
            <w:vAlign w:val="top"/>
          </w:tcPr>
          <w:p>
            <w:r/>
            <w:r>
              <w:rPr>
                <w:rFonts w:ascii="Arial" w:hAnsi="Arial"/>
                <w:b w:val="0"/>
                <w:color w:val="1F2937"/>
                <w:sz w:val="16"/>
              </w:rPr>
              <w:t>Certified Member</w:t>
            </w:r>
          </w:p>
        </w:tc>
        <w:tc>
          <w:tcPr>
            <w:tcW w:type="dxa" w:w="3456"/>
            <w:vAlign w:val="top"/>
          </w:tcPr>
          <w:p>
            <w:r/>
            <w:r>
              <w:rPr>
                <w:rFonts w:ascii="Arial" w:hAnsi="Arial"/>
                <w:b w:val="0"/>
                <w:color w:val="1F2937"/>
                <w:sz w:val="16"/>
              </w:rPr>
              <w:t>£150</w:t>
            </w:r>
          </w:p>
        </w:tc>
        <w:tc>
          <w:tcPr>
            <w:tcW w:type="dxa" w:w="3456"/>
            <w:vAlign w:val="top"/>
          </w:tcPr>
          <w:p>
            <w:r/>
            <w:r>
              <w:rPr>
                <w:rFonts w:ascii="Arial" w:hAnsi="Arial"/>
                <w:b w:val="0"/>
                <w:color w:val="1F2937"/>
                <w:sz w:val="16"/>
              </w:rPr>
              <w:t>CPD events, donor-readiness resources and project clinics.</w:t>
            </w:r>
          </w:p>
        </w:tc>
      </w:tr>
      <w:tr>
        <w:tc>
          <w:tcPr>
            <w:tcW w:type="dxa" w:w="3456"/>
            <w:vAlign w:val="top"/>
          </w:tcPr>
          <w:p>
            <w:r/>
            <w:r>
              <w:rPr>
                <w:rFonts w:ascii="Arial" w:hAnsi="Arial"/>
                <w:b w:val="0"/>
                <w:color w:val="1F2937"/>
                <w:sz w:val="16"/>
              </w:rPr>
              <w:t>Professional Member</w:t>
            </w:r>
          </w:p>
        </w:tc>
        <w:tc>
          <w:tcPr>
            <w:tcW w:type="dxa" w:w="3456"/>
            <w:vAlign w:val="top"/>
          </w:tcPr>
          <w:p>
            <w:r/>
            <w:r>
              <w:rPr>
                <w:rFonts w:ascii="Arial" w:hAnsi="Arial"/>
                <w:b w:val="0"/>
                <w:color w:val="1F2937"/>
                <w:sz w:val="16"/>
              </w:rPr>
              <w:t>£250</w:t>
            </w:r>
          </w:p>
        </w:tc>
        <w:tc>
          <w:tcPr>
            <w:tcW w:type="dxa" w:w="3456"/>
            <w:vAlign w:val="top"/>
          </w:tcPr>
          <w:p>
            <w:r/>
            <w:r>
              <w:rPr>
                <w:rFonts w:ascii="Arial" w:hAnsi="Arial"/>
                <w:b w:val="0"/>
                <w:color w:val="1F2937"/>
                <w:sz w:val="16"/>
              </w:rPr>
              <w:t>Advanced roundtables, profile listing and peer review.</w:t>
            </w:r>
          </w:p>
        </w:tc>
      </w:tr>
      <w:tr>
        <w:tc>
          <w:tcPr>
            <w:tcW w:type="dxa" w:w="3456"/>
            <w:vAlign w:val="top"/>
          </w:tcPr>
          <w:p>
            <w:r/>
            <w:r>
              <w:rPr>
                <w:rFonts w:ascii="Arial" w:hAnsi="Arial"/>
                <w:b w:val="0"/>
                <w:color w:val="1F2937"/>
                <w:sz w:val="16"/>
              </w:rPr>
              <w:t>Fellow</w:t>
            </w:r>
          </w:p>
        </w:tc>
        <w:tc>
          <w:tcPr>
            <w:tcW w:type="dxa" w:w="3456"/>
            <w:vAlign w:val="top"/>
          </w:tcPr>
          <w:p>
            <w:r/>
            <w:r>
              <w:rPr>
                <w:rFonts w:ascii="Arial" w:hAnsi="Arial"/>
                <w:b w:val="0"/>
                <w:color w:val="1F2937"/>
                <w:sz w:val="16"/>
              </w:rPr>
              <w:t>£500-£1,000</w:t>
            </w:r>
          </w:p>
        </w:tc>
        <w:tc>
          <w:tcPr>
            <w:tcW w:type="dxa" w:w="3456"/>
            <w:vAlign w:val="top"/>
          </w:tcPr>
          <w:p>
            <w:r/>
            <w:r>
              <w:rPr>
                <w:rFonts w:ascii="Arial" w:hAnsi="Arial"/>
                <w:b w:val="0"/>
                <w:color w:val="1F2937"/>
                <w:sz w:val="16"/>
              </w:rPr>
              <w:t>Leadership council, speaking opportunities and annual recognition.</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MEMBERSHIP VALUE</w:t>
              <w:br/>
            </w:r>
            <w:r>
              <w:rPr>
                <w:rFonts w:ascii="Arial" w:hAnsi="Arial"/>
                <w:b/>
                <w:color w:val="FFFFFF"/>
                <w:sz w:val="36"/>
              </w:rPr>
              <w:t>21. Society Member Benefits</w:t>
            </w:r>
            <w:r>
              <w:rPr>
                <w:rFonts w:ascii="Arial" w:hAnsi="Arial"/>
                <w:color w:val="DDE6F0"/>
                <w:sz w:val="18"/>
              </w:rPr>
              <w:br/>
              <w:t>CPD, peer learning, project clinics and professional identity</w:t>
            </w:r>
          </w:p>
        </w:tc>
      </w:tr>
    </w:tbl>
    <w:p>
      <w:pPr>
        <w:pStyle w:val="ListBullet"/>
      </w:pPr>
      <w:r>
        <w:t>Digital badge and membership confirmation.</w:t>
      </w:r>
    </w:p>
    <w:p>
      <w:pPr>
        <w:pStyle w:val="ListBullet"/>
      </w:pPr>
      <w:r>
        <w:t>Member register and professional visibility where applicable.</w:t>
      </w:r>
    </w:p>
    <w:p>
      <w:pPr>
        <w:pStyle w:val="ListBullet"/>
      </w:pPr>
      <w:r>
        <w:t>Monthly project clinics and CPD events.</w:t>
      </w:r>
    </w:p>
    <w:p>
      <w:pPr>
        <w:pStyle w:val="ListBullet"/>
      </w:pPr>
      <w:r>
        <w:t>Donor-readiness resources and practical templates.</w:t>
      </w:r>
    </w:p>
    <w:p>
      <w:pPr>
        <w:pStyle w:val="ListBullet"/>
      </w:pPr>
      <w:r>
        <w:t>Advanced practitioner roundtables and peer review sessions.</w:t>
      </w:r>
    </w:p>
    <w:p>
      <w:pPr>
        <w:pStyle w:val="ListBullet"/>
      </w:pPr>
      <w:r>
        <w:t>Annual recognition event and speaking opportunities.</w:t>
      </w:r>
    </w:p>
    <w:p>
      <w:pPr>
        <w:spacing w:after="100"/>
      </w:pPr>
      <w:r>
        <w:t>The Society should be positioned as a serious community of practice. It extends LSSE’s relationship with learners beyond single programme enrolment and creates recurring value for members.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MEMBERSHIP FUNNEL</w:t>
              <w:br/>
            </w:r>
            <w:r>
              <w:rPr>
                <w:rFonts w:ascii="Arial" w:hAnsi="Arial"/>
                <w:b/>
                <w:color w:val="FFFFFF"/>
                <w:sz w:val="36"/>
              </w:rPr>
              <w:t>22. Society Conversion Strategy</w:t>
            </w:r>
            <w:r>
              <w:rPr>
                <w:rFonts w:ascii="Arial" w:hAnsi="Arial"/>
                <w:color w:val="DDE6F0"/>
                <w:sz w:val="18"/>
              </w:rPr>
              <w:br/>
              <w:t>How the Society supports revenue, retention and credibility</w:t>
            </w:r>
          </w:p>
        </w:tc>
      </w:tr>
    </w:tbl>
    <w:p>
      <w:pPr>
        <w:spacing w:after="100"/>
      </w:pPr>
      <w:r>
        <w:t>The Society strengthens LSSE’s business model by turning learners and recognised practitioners into long-term members. It also supports professional identity by creating a structured community around social enterprise, ESG practice and public value.</w:t>
      </w:r>
    </w:p>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After course completion</w:t>
            </w:r>
          </w:p>
        </w:tc>
        <w:tc>
          <w:tcPr>
            <w:tcW w:type="dxa" w:w="5184"/>
            <w:vAlign w:val="top"/>
          </w:tcPr>
          <w:p>
            <w:r/>
            <w:r>
              <w:rPr>
                <w:rFonts w:ascii="Arial" w:hAnsi="Arial"/>
                <w:b w:val="0"/>
                <w:color w:val="1F2937"/>
                <w:sz w:val="16"/>
              </w:rPr>
              <w:t>Invite learners to join as Associate or Certified Members.</w:t>
            </w:r>
          </w:p>
        </w:tc>
      </w:tr>
      <w:tr>
        <w:tc>
          <w:tcPr>
            <w:tcW w:type="dxa" w:w="5184"/>
            <w:vAlign w:val="top"/>
            <w:shd w:fill="F3F6FA"/>
          </w:tcPr>
          <w:p>
            <w:r/>
            <w:r>
              <w:rPr>
                <w:rFonts w:ascii="Arial" w:hAnsi="Arial"/>
                <w:b/>
                <w:color w:val="0B1F3A"/>
                <w:sz w:val="17"/>
              </w:rPr>
              <w:t>After certification</w:t>
            </w:r>
          </w:p>
        </w:tc>
        <w:tc>
          <w:tcPr>
            <w:tcW w:type="dxa" w:w="5184"/>
            <w:vAlign w:val="top"/>
          </w:tcPr>
          <w:p>
            <w:r/>
            <w:r>
              <w:rPr>
                <w:rFonts w:ascii="Arial" w:hAnsi="Arial"/>
                <w:b w:val="0"/>
                <w:color w:val="1F2937"/>
                <w:sz w:val="16"/>
              </w:rPr>
              <w:t>Invite recognised practitioners to join at the corresponding membership grade.</w:t>
            </w:r>
          </w:p>
        </w:tc>
      </w:tr>
      <w:tr>
        <w:tc>
          <w:tcPr>
            <w:tcW w:type="dxa" w:w="5184"/>
            <w:vAlign w:val="top"/>
            <w:shd w:fill="F3F6FA"/>
          </w:tcPr>
          <w:p>
            <w:r/>
            <w:r>
              <w:rPr>
                <w:rFonts w:ascii="Arial" w:hAnsi="Arial"/>
                <w:b/>
                <w:color w:val="0B1F3A"/>
                <w:sz w:val="17"/>
              </w:rPr>
              <w:t>After events</w:t>
            </w:r>
          </w:p>
        </w:tc>
        <w:tc>
          <w:tcPr>
            <w:tcW w:type="dxa" w:w="5184"/>
            <w:vAlign w:val="top"/>
          </w:tcPr>
          <w:p>
            <w:r/>
            <w:r>
              <w:rPr>
                <w:rFonts w:ascii="Arial" w:hAnsi="Arial"/>
                <w:b w:val="0"/>
                <w:color w:val="1F2937"/>
                <w:sz w:val="16"/>
              </w:rPr>
              <w:t>Convert attendees into Society members through CPD and project clinics.</w:t>
            </w:r>
          </w:p>
        </w:tc>
      </w:tr>
      <w:tr>
        <w:tc>
          <w:tcPr>
            <w:tcW w:type="dxa" w:w="5184"/>
            <w:vAlign w:val="top"/>
            <w:shd w:fill="F3F6FA"/>
          </w:tcPr>
          <w:p>
            <w:r/>
            <w:r>
              <w:rPr>
                <w:rFonts w:ascii="Arial" w:hAnsi="Arial"/>
                <w:b/>
                <w:color w:val="0B1F3A"/>
                <w:sz w:val="17"/>
              </w:rPr>
              <w:t>For Fellows</w:t>
            </w:r>
          </w:p>
        </w:tc>
        <w:tc>
          <w:tcPr>
            <w:tcW w:type="dxa" w:w="5184"/>
            <w:vAlign w:val="top"/>
          </w:tcPr>
          <w:p>
            <w:r/>
            <w:r>
              <w:rPr>
                <w:rFonts w:ascii="Arial" w:hAnsi="Arial"/>
                <w:b w:val="0"/>
                <w:color w:val="1F2937"/>
                <w:sz w:val="16"/>
              </w:rPr>
              <w:t>Create a leadership council and senior recognition layer.</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APPLIED SUPPORT</w:t>
              <w:br/>
            </w:r>
            <w:r>
              <w:rPr>
                <w:rFonts w:ascii="Arial" w:hAnsi="Arial"/>
                <w:b/>
                <w:color w:val="FFFFFF"/>
                <w:sz w:val="36"/>
              </w:rPr>
              <w:t>23. ESG Project Lab</w:t>
            </w:r>
            <w:r>
              <w:rPr>
                <w:rFonts w:ascii="Arial" w:hAnsi="Arial"/>
                <w:color w:val="DDE6F0"/>
                <w:sz w:val="18"/>
              </w:rPr>
              <w:br/>
              <w:t>Applied project support for organisations designing, funding and evidencing impact</w:t>
            </w:r>
          </w:p>
        </w:tc>
      </w:tr>
    </w:tbl>
    <w:p>
      <w:pPr>
        <w:spacing w:after="100"/>
      </w:pPr>
      <w:r>
        <w:t>The LSSE ESG Project Lab is an applied support platform for organisations seeking project diagnosis, donor readiness, impact framework development and stronger implementation planning. It sits at the intersection of learning, applied research and institutional project support.</w:t>
      </w:r>
    </w:p>
    <w:p>
      <w:pPr>
        <w:pStyle w:val="ListBullet"/>
      </w:pPr>
      <w:r>
        <w:t>Project diagnosis.</w:t>
      </w:r>
    </w:p>
    <w:p>
      <w:pPr>
        <w:pStyle w:val="ListBullet"/>
      </w:pPr>
      <w:r>
        <w:t>Theory of change development.</w:t>
      </w:r>
    </w:p>
    <w:p>
      <w:pPr>
        <w:pStyle w:val="ListBullet"/>
      </w:pPr>
      <w:r>
        <w:t>Stakeholder mapping.</w:t>
      </w:r>
    </w:p>
    <w:p>
      <w:pPr>
        <w:pStyle w:val="ListBullet"/>
      </w:pPr>
      <w:r>
        <w:t>Budget design.</w:t>
      </w:r>
    </w:p>
    <w:p>
      <w:pPr>
        <w:pStyle w:val="ListBullet"/>
      </w:pPr>
      <w:r>
        <w:t>Risk register development.</w:t>
      </w:r>
    </w:p>
    <w:p>
      <w:pPr>
        <w:pStyle w:val="ListBullet"/>
      </w:pPr>
      <w:r>
        <w:t>Safeguarding and accountability review.</w:t>
      </w:r>
    </w:p>
    <w:p>
      <w:pPr>
        <w:pStyle w:val="ListBullet"/>
      </w:pPr>
      <w:r>
        <w:t>Donor readiness assessment.</w:t>
      </w:r>
    </w:p>
    <w:p>
      <w:pPr>
        <w:pStyle w:val="ListBullet"/>
      </w:pPr>
      <w:r>
        <w:t>Impact framework design.</w:t>
      </w:r>
    </w:p>
    <w:p>
      <w:pPr>
        <w:pStyle w:val="ListBullet"/>
      </w:pPr>
      <w:r>
        <w:t>Pitch pack preparation.</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PROJECT SUPPORT MODEL</w:t>
              <w:br/>
            </w:r>
            <w:r>
              <w:rPr>
                <w:rFonts w:ascii="Arial" w:hAnsi="Arial"/>
                <w:b/>
                <w:color w:val="FFFFFF"/>
                <w:sz w:val="36"/>
              </w:rPr>
              <w:t>24. ESG Project Lab Service Model</w:t>
            </w:r>
            <w:r>
              <w:rPr>
                <w:rFonts w:ascii="Arial" w:hAnsi="Arial"/>
                <w:color w:val="DDE6F0"/>
                <w:sz w:val="18"/>
              </w:rPr>
              <w:br/>
              <w:t>From concept to funder-ready project documentation</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Project Diagnosis</w:t>
            </w:r>
          </w:p>
        </w:tc>
        <w:tc>
          <w:tcPr>
            <w:tcW w:type="dxa" w:w="5184"/>
            <w:vAlign w:val="top"/>
          </w:tcPr>
          <w:p>
            <w:r/>
            <w:r>
              <w:rPr>
                <w:rFonts w:ascii="Arial" w:hAnsi="Arial"/>
                <w:b w:val="0"/>
                <w:color w:val="1F2937"/>
                <w:sz w:val="16"/>
              </w:rPr>
              <w:t>Structured review of readiness gaps, evidence gaps and improvement priorities.</w:t>
            </w:r>
          </w:p>
        </w:tc>
      </w:tr>
      <w:tr>
        <w:tc>
          <w:tcPr>
            <w:tcW w:type="dxa" w:w="5184"/>
            <w:vAlign w:val="top"/>
            <w:shd w:fill="F3F6FA"/>
          </w:tcPr>
          <w:p>
            <w:r/>
            <w:r>
              <w:rPr>
                <w:rFonts w:ascii="Arial" w:hAnsi="Arial"/>
                <w:b/>
                <w:color w:val="0B1F3A"/>
                <w:sz w:val="17"/>
              </w:rPr>
              <w:t>Project Design Support</w:t>
            </w:r>
          </w:p>
        </w:tc>
        <w:tc>
          <w:tcPr>
            <w:tcW w:type="dxa" w:w="5184"/>
            <w:vAlign w:val="top"/>
          </w:tcPr>
          <w:p>
            <w:r/>
            <w:r>
              <w:rPr>
                <w:rFonts w:ascii="Arial" w:hAnsi="Arial"/>
                <w:b w:val="0"/>
                <w:color w:val="1F2937"/>
                <w:sz w:val="16"/>
              </w:rPr>
              <w:t>Support to convert a concept into a structured project plan.</w:t>
            </w:r>
          </w:p>
        </w:tc>
      </w:tr>
      <w:tr>
        <w:tc>
          <w:tcPr>
            <w:tcW w:type="dxa" w:w="5184"/>
            <w:vAlign w:val="top"/>
            <w:shd w:fill="F3F6FA"/>
          </w:tcPr>
          <w:p>
            <w:r/>
            <w:r>
              <w:rPr>
                <w:rFonts w:ascii="Arial" w:hAnsi="Arial"/>
                <w:b/>
                <w:color w:val="0B1F3A"/>
                <w:sz w:val="17"/>
              </w:rPr>
              <w:t>Donor Readiness Pack</w:t>
            </w:r>
          </w:p>
        </w:tc>
        <w:tc>
          <w:tcPr>
            <w:tcW w:type="dxa" w:w="5184"/>
            <w:vAlign w:val="top"/>
          </w:tcPr>
          <w:p>
            <w:r/>
            <w:r>
              <w:rPr>
                <w:rFonts w:ascii="Arial" w:hAnsi="Arial"/>
                <w:b w:val="0"/>
                <w:color w:val="1F2937"/>
                <w:sz w:val="16"/>
              </w:rPr>
              <w:t>Concept note, case for support, budget, risk register and pitch pack.</w:t>
            </w:r>
          </w:p>
        </w:tc>
      </w:tr>
      <w:tr>
        <w:tc>
          <w:tcPr>
            <w:tcW w:type="dxa" w:w="5184"/>
            <w:vAlign w:val="top"/>
            <w:shd w:fill="F3F6FA"/>
          </w:tcPr>
          <w:p>
            <w:r/>
            <w:r>
              <w:rPr>
                <w:rFonts w:ascii="Arial" w:hAnsi="Arial"/>
                <w:b/>
                <w:color w:val="0B1F3A"/>
                <w:sz w:val="17"/>
              </w:rPr>
              <w:t>Impact Framework Development</w:t>
            </w:r>
          </w:p>
        </w:tc>
        <w:tc>
          <w:tcPr>
            <w:tcW w:type="dxa" w:w="5184"/>
            <w:vAlign w:val="top"/>
          </w:tcPr>
          <w:p>
            <w:r/>
            <w:r>
              <w:rPr>
                <w:rFonts w:ascii="Arial" w:hAnsi="Arial"/>
                <w:b w:val="0"/>
                <w:color w:val="1F2937"/>
                <w:sz w:val="16"/>
              </w:rPr>
              <w:t>Outcomes, indicators, evidence plans and reporting structures.</w:t>
            </w:r>
          </w:p>
        </w:tc>
      </w:tr>
      <w:tr>
        <w:tc>
          <w:tcPr>
            <w:tcW w:type="dxa" w:w="5184"/>
            <w:vAlign w:val="top"/>
            <w:shd w:fill="F3F6FA"/>
          </w:tcPr>
          <w:p>
            <w:r/>
            <w:r>
              <w:rPr>
                <w:rFonts w:ascii="Arial" w:hAnsi="Arial"/>
                <w:b/>
                <w:color w:val="0B1F3A"/>
                <w:sz w:val="17"/>
              </w:rPr>
              <w:t>Institutional Cohorts</w:t>
            </w:r>
          </w:p>
        </w:tc>
        <w:tc>
          <w:tcPr>
            <w:tcW w:type="dxa" w:w="5184"/>
            <w:vAlign w:val="top"/>
          </w:tcPr>
          <w:p>
            <w:r/>
            <w:r>
              <w:rPr>
                <w:rFonts w:ascii="Arial" w:hAnsi="Arial"/>
                <w:b w:val="0"/>
                <w:color w:val="1F2937"/>
                <w:sz w:val="16"/>
              </w:rPr>
              <w:t>Custom support for foundations, corporates and public bodies supporting multiple organisations.</w:t>
            </w:r>
          </w:p>
        </w:tc>
      </w:tr>
    </w:tbl>
    <w:tbl>
      <w:tblPr>
        <w:tblStyle w:val="TableGrid"/>
        <w:tblW w:type="auto" w:w="0"/>
        <w:jc w:val="center"/>
        <w:tblLook w:firstColumn="1" w:firstRow="1" w:lastColumn="0" w:lastRow="0" w:noHBand="0" w:noVBand="1" w:val="04A0"/>
      </w:tblPr>
      <w:tblGrid>
        <w:gridCol w:w="10368"/>
      </w:tblGrid>
      <w:tr>
        <w:tc>
          <w:tcPr>
            <w:tcW w:type="dxa" w:w="10368"/>
            <w:vAlign w:val="top"/>
            <w:shd w:fill="F8F3E7"/>
          </w:tcPr>
          <w:p>
            <w:pPr>
              <w:spacing w:after="120" w:before="120"/>
            </w:pPr>
            <w:r>
              <w:rPr>
                <w:rFonts w:ascii="Arial" w:hAnsi="Arial"/>
                <w:b/>
                <w:color w:val="0B1F3A"/>
                <w:sz w:val="21"/>
              </w:rPr>
              <w:t>Transparency statement</w:t>
              <w:br/>
            </w:r>
            <w:r>
              <w:rPr>
                <w:rFonts w:ascii="Arial" w:hAnsi="Arial"/>
                <w:color w:val="1F2937"/>
                <w:sz w:val="18"/>
              </w:rPr>
              <w:t>The ESG Project Lab supports project quality, documentation and readiness. It does not guarantee funding, donor approval, investment, partnership or endorsement.</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SENIOR PATHWAY</w:t>
              <w:br/>
            </w:r>
            <w:r>
              <w:rPr>
                <w:rFonts w:ascii="Arial" w:hAnsi="Arial"/>
                <w:b/>
                <w:color w:val="FFFFFF"/>
                <w:sz w:val="36"/>
              </w:rPr>
              <w:t>25. Executive Education</w:t>
            </w:r>
            <w:r>
              <w:rPr>
                <w:rFonts w:ascii="Arial" w:hAnsi="Arial"/>
                <w:color w:val="DDE6F0"/>
                <w:sz w:val="18"/>
              </w:rPr>
              <w:br/>
              <w:t>Advanced learning for leaders working across complexity and change</w:t>
            </w:r>
          </w:p>
        </w:tc>
      </w:tr>
    </w:tbl>
    <w:p>
      <w:pPr>
        <w:spacing w:after="100"/>
      </w:pPr>
      <w:r>
        <w:t>Executive Education at LSSE is designed for founders, trustees, executives, senior professionals, public-interest leaders and organisations working across complexity, accountability and change. These programmes support strategic judgement, institutional capability, governance awareness and leadership development.</w:t>
      </w:r>
    </w:p>
    <w:p>
      <w:pPr>
        <w:pStyle w:val="ListBullet"/>
      </w:pPr>
      <w:r>
        <w:t>ESG Leadership Fellowship.</w:t>
      </w:r>
    </w:p>
    <w:p>
      <w:pPr>
        <w:pStyle w:val="ListBullet"/>
      </w:pPr>
      <w:r>
        <w:t>Corporate ESG Execution Workshops.</w:t>
      </w:r>
    </w:p>
    <w:p>
      <w:pPr>
        <w:pStyle w:val="ListBullet"/>
      </w:pPr>
      <w:r>
        <w:t>Founder leadership and organisational growth pathways.</w:t>
      </w:r>
    </w:p>
    <w:p>
      <w:pPr>
        <w:pStyle w:val="ListBullet"/>
      </w:pPr>
      <w:r>
        <w:t>Institutional cohorts for organisations and partners.</w:t>
      </w:r>
    </w:p>
    <w:p>
      <w:pPr>
        <w:pStyle w:val="ListBullet"/>
      </w:pPr>
      <w:r>
        <w:t>Board and executive briefings.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REVENUE MODEL</w:t>
              <w:br/>
            </w:r>
            <w:r>
              <w:rPr>
                <w:rFonts w:ascii="Arial" w:hAnsi="Arial"/>
                <w:b/>
                <w:color w:val="FFFFFF"/>
                <w:sz w:val="36"/>
              </w:rPr>
              <w:t>26. Executive Education Commercial Logic</w:t>
            </w:r>
            <w:r>
              <w:rPr>
                <w:rFonts w:ascii="Arial" w:hAnsi="Arial"/>
                <w:color w:val="DDE6F0"/>
                <w:sz w:val="18"/>
              </w:rPr>
              <w:br/>
              <w:t>Premium institutional pathway for leaders and organisations</w:t>
            </w:r>
          </w:p>
        </w:tc>
      </w:tr>
    </w:tbl>
    <w:p>
      <w:pPr>
        <w:spacing w:after="100"/>
      </w:pPr>
      <w:r>
        <w:t>Executive Education should be one of LSSE’s premium categories. It is the most relevant entry point for organisations, corporates, foundations, boards, senior professionals and institutional partners.</w:t>
      </w:r>
    </w:p>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Pricing power</w:t>
            </w:r>
          </w:p>
        </w:tc>
        <w:tc>
          <w:tcPr>
            <w:tcW w:type="dxa" w:w="5184"/>
            <w:vAlign w:val="top"/>
          </w:tcPr>
          <w:p>
            <w:r/>
            <w:r>
              <w:rPr>
                <w:rFonts w:ascii="Arial" w:hAnsi="Arial"/>
                <w:b w:val="0"/>
                <w:color w:val="1F2937"/>
                <w:sz w:val="16"/>
              </w:rPr>
              <w:t>Higher fees are justified by senior-level facilitation, bespoke design and applied institutional outcomes.</w:t>
            </w:r>
          </w:p>
        </w:tc>
      </w:tr>
      <w:tr>
        <w:tc>
          <w:tcPr>
            <w:tcW w:type="dxa" w:w="5184"/>
            <w:vAlign w:val="top"/>
            <w:shd w:fill="F3F6FA"/>
          </w:tcPr>
          <w:p>
            <w:r/>
            <w:r>
              <w:rPr>
                <w:rFonts w:ascii="Arial" w:hAnsi="Arial"/>
                <w:b/>
                <w:color w:val="0B1F3A"/>
                <w:sz w:val="17"/>
              </w:rPr>
              <w:t>Conversion route</w:t>
            </w:r>
          </w:p>
        </w:tc>
        <w:tc>
          <w:tcPr>
            <w:tcW w:type="dxa" w:w="5184"/>
            <w:vAlign w:val="top"/>
          </w:tcPr>
          <w:p>
            <w:r/>
            <w:r>
              <w:rPr>
                <w:rFonts w:ascii="Arial" w:hAnsi="Arial"/>
                <w:b w:val="0"/>
                <w:color w:val="1F2937"/>
                <w:sz w:val="16"/>
              </w:rPr>
              <w:t>Prospectus leads expressing executive interest should be routed to consultation, not generic admissions.</w:t>
            </w:r>
          </w:p>
        </w:tc>
      </w:tr>
      <w:tr>
        <w:tc>
          <w:tcPr>
            <w:tcW w:type="dxa" w:w="5184"/>
            <w:vAlign w:val="top"/>
            <w:shd w:fill="F3F6FA"/>
          </w:tcPr>
          <w:p>
            <w:r/>
            <w:r>
              <w:rPr>
                <w:rFonts w:ascii="Arial" w:hAnsi="Arial"/>
                <w:b/>
                <w:color w:val="0B1F3A"/>
                <w:sz w:val="17"/>
              </w:rPr>
              <w:t>Institutional credibility</w:t>
            </w:r>
          </w:p>
        </w:tc>
        <w:tc>
          <w:tcPr>
            <w:tcW w:type="dxa" w:w="5184"/>
            <w:vAlign w:val="top"/>
          </w:tcPr>
          <w:p>
            <w:r/>
            <w:r>
              <w:rPr>
                <w:rFonts w:ascii="Arial" w:hAnsi="Arial"/>
                <w:b w:val="0"/>
                <w:color w:val="1F2937"/>
                <w:sz w:val="16"/>
              </w:rPr>
              <w:t>Executive Education positions LSSE beyond short courses and creates authority in leadership and governance.</w:t>
            </w:r>
          </w:p>
        </w:tc>
      </w:tr>
      <w:tr>
        <w:tc>
          <w:tcPr>
            <w:tcW w:type="dxa" w:w="5184"/>
            <w:vAlign w:val="top"/>
            <w:shd w:fill="F3F6FA"/>
          </w:tcPr>
          <w:p>
            <w:r/>
            <w:r>
              <w:rPr>
                <w:rFonts w:ascii="Arial" w:hAnsi="Arial"/>
                <w:b/>
                <w:color w:val="0B1F3A"/>
                <w:sz w:val="17"/>
              </w:rPr>
              <w:t>Partnership value</w:t>
            </w:r>
          </w:p>
        </w:tc>
        <w:tc>
          <w:tcPr>
            <w:tcW w:type="dxa" w:w="5184"/>
            <w:vAlign w:val="top"/>
          </w:tcPr>
          <w:p>
            <w:r/>
            <w:r>
              <w:rPr>
                <w:rFonts w:ascii="Arial" w:hAnsi="Arial"/>
                <w:b w:val="0"/>
                <w:color w:val="1F2937"/>
                <w:sz w:val="16"/>
              </w:rPr>
              <w:t>Organisations can sponsor cohorts, workshops or leadership sessions.</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WEBSITE PAGE</w:t>
              <w:br/>
            </w:r>
            <w:r>
              <w:rPr>
                <w:rFonts w:ascii="Arial" w:hAnsi="Arial"/>
                <w:b/>
                <w:color w:val="FFFFFF"/>
                <w:sz w:val="36"/>
              </w:rPr>
              <w:t>27. Prospectus Request Landing Page</w:t>
            </w:r>
            <w:r>
              <w:rPr>
                <w:rFonts w:ascii="Arial" w:hAnsi="Arial"/>
                <w:color w:val="DDE6F0"/>
                <w:sz w:val="18"/>
              </w:rPr>
              <w:br/>
              <w:t>High-trust conversion gateway</w:t>
            </w:r>
          </w:p>
        </w:tc>
      </w:tr>
    </w:tbl>
    <w:p>
      <w:pPr>
        <w:spacing w:after="100"/>
      </w:pPr>
      <w:r>
        <w:t>The prospectus landing page should feel like a serious institutional gateway. It should not be over-designed or over-written. It should communicate value clearly, capture the right data and provide an immediate next step.</w:t>
      </w:r>
    </w:p>
    <w:p>
      <w:pPr>
        <w:pStyle w:val="Heading2"/>
      </w:pPr>
      <w:r>
        <w:t>Hero copy</w:t>
      </w:r>
    </w:p>
    <w:p>
      <w:pPr>
        <w:spacing w:after="100"/>
      </w:pPr>
      <w:r>
        <w:t>Explore LSSE in depth. The LSSE Digital Prospectus provides a detailed introduction to our academic approach, programme pathways, ESG capability, executive education, social entrepreneur certification and professional community.</w:t>
      </w:r>
    </w:p>
    <w:p>
      <w:pPr>
        <w:pStyle w:val="Heading2"/>
      </w:pPr>
      <w:r>
        <w:t>Primary CTA</w:t>
      </w:r>
    </w:p>
    <w:p>
      <w:pPr>
        <w:spacing w:after="100"/>
      </w:pPr>
      <w:r>
        <w:t>Order Digital Prospectus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WEBSITE CONTENT</w:t>
              <w:br/>
            </w:r>
            <w:r>
              <w:rPr>
                <w:rFonts w:ascii="Arial" w:hAnsi="Arial"/>
                <w:b/>
                <w:color w:val="FFFFFF"/>
                <w:sz w:val="36"/>
              </w:rPr>
              <w:t>28. Prospectus Landing Page Content Blocks</w:t>
            </w:r>
            <w:r>
              <w:rPr>
                <w:rFonts w:ascii="Arial" w:hAnsi="Arial"/>
                <w:color w:val="DDE6F0"/>
                <w:sz w:val="18"/>
              </w:rPr>
              <w:br/>
              <w:t>What the page should include</w:t>
            </w:r>
          </w:p>
        </w:tc>
      </w:tr>
    </w:tbl>
    <w:p>
      <w:pPr>
        <w:pStyle w:val="Heading2"/>
      </w:pPr>
      <w:r>
        <w:t>What the prospectus includes</w:t>
      </w:r>
    </w:p>
    <w:p>
      <w:pPr>
        <w:pStyle w:val="ListBullet"/>
      </w:pPr>
      <w:r>
        <w:t>The School’s purpose, academic philosophy and global outlook.</w:t>
      </w:r>
    </w:p>
    <w:p>
      <w:pPr>
        <w:pStyle w:val="ListBullet"/>
      </w:pPr>
      <w:r>
        <w:t>Short Courses, Certificate Programmes, Online Courses and Executive Education.</w:t>
      </w:r>
    </w:p>
    <w:p>
      <w:pPr>
        <w:pStyle w:val="ListBullet"/>
      </w:pPr>
      <w:r>
        <w:t>ESG Programmes, ESG Project Lab and donor-readiness pathways.</w:t>
      </w:r>
    </w:p>
    <w:p>
      <w:pPr>
        <w:pStyle w:val="ListBullet"/>
      </w:pPr>
      <w:r>
        <w:t>Social Entrepreneur Certification levels and assessment approach.</w:t>
      </w:r>
    </w:p>
    <w:p>
      <w:pPr>
        <w:pStyle w:val="ListBullet"/>
      </w:pPr>
      <w:r>
        <w:t>LSSE Society of Social Entrepreneurs and continuing development.</w:t>
      </w:r>
    </w:p>
    <w:p>
      <w:pPr>
        <w:pStyle w:val="ListBullet"/>
      </w:pPr>
      <w:r>
        <w:t>Admissions, fees, registration and next steps.</w:t>
      </w:r>
    </w:p>
    <w:p>
      <w:pPr>
        <w:pStyle w:val="Heading2"/>
      </w:pPr>
      <w:r>
        <w:t>Who should request it</w:t>
      </w:r>
    </w:p>
    <w:p>
      <w:pPr>
        <w:pStyle w:val="ListBullet"/>
      </w:pPr>
      <w:r>
        <w:t>Prospective learners and students.</w:t>
      </w:r>
    </w:p>
    <w:p>
      <w:pPr>
        <w:pStyle w:val="ListBullet"/>
      </w:pPr>
      <w:r>
        <w:t>Social entrepreneurs and founders.</w:t>
      </w:r>
    </w:p>
    <w:p>
      <w:pPr>
        <w:pStyle w:val="ListBullet"/>
      </w:pPr>
      <w:r>
        <w:t>Charity, NGO and CIC professionals.</w:t>
      </w:r>
    </w:p>
    <w:p>
      <w:pPr>
        <w:pStyle w:val="ListBullet"/>
      </w:pPr>
      <w:r>
        <w:t>ESG and sustainability practitioners.</w:t>
      </w:r>
    </w:p>
    <w:p>
      <w:pPr>
        <w:pStyle w:val="ListBullet"/>
      </w:pPr>
      <w:r>
        <w:t>Executives, trustees and board members.</w:t>
      </w:r>
    </w:p>
    <w:p>
      <w:pPr>
        <w:pStyle w:val="ListBullet"/>
      </w:pPr>
      <w:r>
        <w:t>Organisations exploring team training or institutional cohorts.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FORM ARCHITECTURE</w:t>
              <w:br/>
            </w:r>
            <w:r>
              <w:rPr>
                <w:rFonts w:ascii="Arial" w:hAnsi="Arial"/>
                <w:b/>
                <w:color w:val="FFFFFF"/>
                <w:sz w:val="36"/>
              </w:rPr>
              <w:t>29. Multi-Step Prospectus Request Form</w:t>
            </w:r>
            <w:r>
              <w:rPr>
                <w:rFonts w:ascii="Arial" w:hAnsi="Arial"/>
                <w:color w:val="DDE6F0"/>
                <w:sz w:val="18"/>
              </w:rPr>
              <w:br/>
              <w:t>Lead capture structure and data fields</w:t>
            </w:r>
          </w:p>
        </w:tc>
      </w:tr>
    </w:tbl>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Personal Details</w:t>
            </w:r>
          </w:p>
        </w:tc>
        <w:tc>
          <w:tcPr>
            <w:tcW w:type="dxa" w:w="5184"/>
            <w:vAlign w:val="top"/>
          </w:tcPr>
          <w:p>
            <w:r/>
            <w:r>
              <w:rPr>
                <w:rFonts w:ascii="Arial" w:hAnsi="Arial"/>
                <w:b w:val="0"/>
                <w:color w:val="1F2937"/>
                <w:sz w:val="16"/>
              </w:rPr>
              <w:t>Full name, email address, phone number, country of residence.</w:t>
            </w:r>
          </w:p>
        </w:tc>
      </w:tr>
      <w:tr>
        <w:tc>
          <w:tcPr>
            <w:tcW w:type="dxa" w:w="5184"/>
            <w:vAlign w:val="top"/>
            <w:shd w:fill="F3F6FA"/>
          </w:tcPr>
          <w:p>
            <w:r/>
            <w:r>
              <w:rPr>
                <w:rFonts w:ascii="Arial" w:hAnsi="Arial"/>
                <w:b/>
                <w:color w:val="0B1F3A"/>
                <w:sz w:val="17"/>
              </w:rPr>
              <w:t>Professional Background</w:t>
            </w:r>
          </w:p>
        </w:tc>
        <w:tc>
          <w:tcPr>
            <w:tcW w:type="dxa" w:w="5184"/>
            <w:vAlign w:val="top"/>
          </w:tcPr>
          <w:p>
            <w:r/>
            <w:r>
              <w:rPr>
                <w:rFonts w:ascii="Arial" w:hAnsi="Arial"/>
                <w:b w:val="0"/>
                <w:color w:val="1F2937"/>
                <w:sz w:val="16"/>
              </w:rPr>
              <w:t>Organisation name, job title, sector and years of experience.</w:t>
            </w:r>
          </w:p>
        </w:tc>
      </w:tr>
      <w:tr>
        <w:tc>
          <w:tcPr>
            <w:tcW w:type="dxa" w:w="5184"/>
            <w:vAlign w:val="top"/>
            <w:shd w:fill="F3F6FA"/>
          </w:tcPr>
          <w:p>
            <w:r/>
            <w:r>
              <w:rPr>
                <w:rFonts w:ascii="Arial" w:hAnsi="Arial"/>
                <w:b/>
                <w:color w:val="0B1F3A"/>
                <w:sz w:val="17"/>
              </w:rPr>
              <w:t>Study Interest</w:t>
            </w:r>
          </w:p>
        </w:tc>
        <w:tc>
          <w:tcPr>
            <w:tcW w:type="dxa" w:w="5184"/>
            <w:vAlign w:val="top"/>
          </w:tcPr>
          <w:p>
            <w:r/>
            <w:r>
              <w:rPr>
                <w:rFonts w:ascii="Arial" w:hAnsi="Arial"/>
                <w:b w:val="0"/>
                <w:color w:val="1F2937"/>
                <w:sz w:val="16"/>
              </w:rPr>
              <w:t>Short Courses, Certificate Programmes, Online Courses, Executive Education, ESG Programmes, Certification, Society and Corporate Training.</w:t>
            </w:r>
          </w:p>
        </w:tc>
      </w:tr>
      <w:tr>
        <w:tc>
          <w:tcPr>
            <w:tcW w:type="dxa" w:w="5184"/>
            <w:vAlign w:val="top"/>
            <w:shd w:fill="F3F6FA"/>
          </w:tcPr>
          <w:p>
            <w:r/>
            <w:r>
              <w:rPr>
                <w:rFonts w:ascii="Arial" w:hAnsi="Arial"/>
                <w:b/>
                <w:color w:val="0B1F3A"/>
                <w:sz w:val="17"/>
              </w:rPr>
              <w:t>Timeline</w:t>
            </w:r>
          </w:p>
        </w:tc>
        <w:tc>
          <w:tcPr>
            <w:tcW w:type="dxa" w:w="5184"/>
            <w:vAlign w:val="top"/>
          </w:tcPr>
          <w:p>
            <w:r/>
            <w:r>
              <w:rPr>
                <w:rFonts w:ascii="Arial" w:hAnsi="Arial"/>
                <w:b w:val="0"/>
                <w:color w:val="1F2937"/>
                <w:sz w:val="16"/>
              </w:rPr>
              <w:t>Immediately, within 3 months, within 6 months or exploring options.</w:t>
            </w:r>
          </w:p>
        </w:tc>
      </w:tr>
      <w:tr>
        <w:tc>
          <w:tcPr>
            <w:tcW w:type="dxa" w:w="5184"/>
            <w:vAlign w:val="top"/>
            <w:shd w:fill="F3F6FA"/>
          </w:tcPr>
          <w:p>
            <w:r/>
            <w:r>
              <w:rPr>
                <w:rFonts w:ascii="Arial" w:hAnsi="Arial"/>
                <w:b/>
                <w:color w:val="0B1F3A"/>
                <w:sz w:val="17"/>
              </w:rPr>
              <w:t>Consent</w:t>
            </w:r>
          </w:p>
        </w:tc>
        <w:tc>
          <w:tcPr>
            <w:tcW w:type="dxa" w:w="5184"/>
            <w:vAlign w:val="top"/>
          </w:tcPr>
          <w:p>
            <w:r/>
            <w:r>
              <w:rPr>
                <w:rFonts w:ascii="Arial" w:hAnsi="Arial"/>
                <w:b w:val="0"/>
                <w:color w:val="1F2937"/>
                <w:sz w:val="16"/>
              </w:rPr>
              <w:t>Privacy policy consent and programme update consent.</w:t>
            </w:r>
          </w:p>
        </w:tc>
      </w:tr>
    </w:tbl>
    <w:tbl>
      <w:tblPr>
        <w:tblStyle w:val="TableGrid"/>
        <w:tblW w:type="auto" w:w="0"/>
        <w:jc w:val="center"/>
        <w:tblLook w:firstColumn="1" w:firstRow="1" w:lastColumn="0" w:lastRow="0" w:noHBand="0" w:noVBand="1" w:val="04A0"/>
      </w:tblPr>
      <w:tblGrid>
        <w:gridCol w:w="10368"/>
      </w:tblGrid>
      <w:tr>
        <w:tc>
          <w:tcPr>
            <w:tcW w:type="dxa" w:w="10368"/>
            <w:vAlign w:val="top"/>
            <w:shd w:fill="F3F6FA"/>
          </w:tcPr>
          <w:p>
            <w:pPr>
              <w:spacing w:after="120" w:before="120"/>
            </w:pPr>
            <w:r>
              <w:rPr>
                <w:rFonts w:ascii="Arial" w:hAnsi="Arial"/>
                <w:b/>
                <w:color w:val="0B1F3A"/>
                <w:sz w:val="21"/>
              </w:rPr>
              <w:t>UX requirement</w:t>
              <w:br/>
            </w:r>
            <w:r>
              <w:rPr>
                <w:rFonts w:ascii="Arial" w:hAnsi="Arial"/>
                <w:color w:val="1F2937"/>
                <w:sz w:val="18"/>
              </w:rPr>
              <w:t>The form should use progressive disclosure, a visible progress bar and mobile-first layout. Keep friction low while preserving lead qualification value.</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POST-SUBMISSION PAGE</w:t>
              <w:br/>
            </w:r>
            <w:r>
              <w:rPr>
                <w:rFonts w:ascii="Arial" w:hAnsi="Arial"/>
                <w:b/>
                <w:color w:val="FFFFFF"/>
                <w:sz w:val="36"/>
              </w:rPr>
              <w:t>30. Thank You and Download Journey</w:t>
            </w:r>
            <w:r>
              <w:rPr>
                <w:rFonts w:ascii="Arial" w:hAnsi="Arial"/>
                <w:color w:val="DDE6F0"/>
                <w:sz w:val="18"/>
              </w:rPr>
              <w:br/>
              <w:t>Converting the request into action</w:t>
            </w:r>
          </w:p>
        </w:tc>
      </w:tr>
    </w:tbl>
    <w:p>
      <w:pPr>
        <w:spacing w:after="100"/>
      </w:pPr>
      <w:r>
        <w:t>After submission, the user should receive immediate access to the prospectus and clear recommended next steps. The thank you page is a conversion page, not a dead end.</w:t>
      </w:r>
    </w:p>
    <w:p>
      <w:pPr>
        <w:pStyle w:val="ListBullet"/>
      </w:pPr>
      <w:r>
        <w:t>Download Prospectus.</w:t>
      </w:r>
    </w:p>
    <w:p>
      <w:pPr>
        <w:pStyle w:val="ListBullet"/>
      </w:pPr>
      <w:r>
        <w:t>Create LSSE Profile.</w:t>
      </w:r>
    </w:p>
    <w:p>
      <w:pPr>
        <w:pStyle w:val="ListBullet"/>
      </w:pPr>
      <w:r>
        <w:t>Explore Programmes.</w:t>
      </w:r>
    </w:p>
    <w:p>
      <w:pPr>
        <w:pStyle w:val="ListBullet"/>
      </w:pPr>
      <w:r>
        <w:t>Book an Information Session.</w:t>
      </w:r>
    </w:p>
    <w:p>
      <w:pPr>
        <w:pStyle w:val="ListBullet"/>
      </w:pPr>
      <w:r>
        <w:t>Contact Admissions.</w:t>
      </w:r>
    </w:p>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ESG interest</w:t>
            </w:r>
          </w:p>
        </w:tc>
        <w:tc>
          <w:tcPr>
            <w:tcW w:type="dxa" w:w="5184"/>
            <w:vAlign w:val="top"/>
          </w:tcPr>
          <w:p>
            <w:r/>
            <w:r>
              <w:rPr>
                <w:rFonts w:ascii="Arial" w:hAnsi="Arial"/>
                <w:b w:val="0"/>
                <w:color w:val="1F2937"/>
                <w:sz w:val="16"/>
              </w:rPr>
              <w:t>Recommend ESG Programmes and ESG Project Lab.</w:t>
            </w:r>
          </w:p>
        </w:tc>
      </w:tr>
      <w:tr>
        <w:tc>
          <w:tcPr>
            <w:tcW w:type="dxa" w:w="5184"/>
            <w:vAlign w:val="top"/>
            <w:shd w:fill="F3F6FA"/>
          </w:tcPr>
          <w:p>
            <w:r/>
            <w:r>
              <w:rPr>
                <w:rFonts w:ascii="Arial" w:hAnsi="Arial"/>
                <w:b/>
                <w:color w:val="0B1F3A"/>
                <w:sz w:val="17"/>
              </w:rPr>
              <w:t>Certification interest</w:t>
            </w:r>
          </w:p>
        </w:tc>
        <w:tc>
          <w:tcPr>
            <w:tcW w:type="dxa" w:w="5184"/>
            <w:vAlign w:val="top"/>
          </w:tcPr>
          <w:p>
            <w:r/>
            <w:r>
              <w:rPr>
                <w:rFonts w:ascii="Arial" w:hAnsi="Arial"/>
                <w:b w:val="0"/>
                <w:color w:val="1F2937"/>
                <w:sz w:val="16"/>
              </w:rPr>
              <w:t>Recommend Assessment Framework and Application Portal.</w:t>
            </w:r>
          </w:p>
        </w:tc>
      </w:tr>
      <w:tr>
        <w:tc>
          <w:tcPr>
            <w:tcW w:type="dxa" w:w="5184"/>
            <w:vAlign w:val="top"/>
            <w:shd w:fill="F3F6FA"/>
          </w:tcPr>
          <w:p>
            <w:r/>
            <w:r>
              <w:rPr>
                <w:rFonts w:ascii="Arial" w:hAnsi="Arial"/>
                <w:b/>
                <w:color w:val="0B1F3A"/>
                <w:sz w:val="17"/>
              </w:rPr>
              <w:t>Executive interest</w:t>
            </w:r>
          </w:p>
        </w:tc>
        <w:tc>
          <w:tcPr>
            <w:tcW w:type="dxa" w:w="5184"/>
            <w:vAlign w:val="top"/>
          </w:tcPr>
          <w:p>
            <w:r/>
            <w:r>
              <w:rPr>
                <w:rFonts w:ascii="Arial" w:hAnsi="Arial"/>
                <w:b w:val="0"/>
                <w:color w:val="1F2937"/>
                <w:sz w:val="16"/>
              </w:rPr>
              <w:t>Recommend consultation with Executive Education team.</w:t>
            </w:r>
          </w:p>
        </w:tc>
      </w:tr>
      <w:tr>
        <w:tc>
          <w:tcPr>
            <w:tcW w:type="dxa" w:w="5184"/>
            <w:vAlign w:val="top"/>
            <w:shd w:fill="F3F6FA"/>
          </w:tcPr>
          <w:p>
            <w:r/>
            <w:r>
              <w:rPr>
                <w:rFonts w:ascii="Arial" w:hAnsi="Arial"/>
                <w:b/>
                <w:color w:val="0B1F3A"/>
                <w:sz w:val="17"/>
              </w:rPr>
              <w:t>General interest</w:t>
            </w:r>
          </w:p>
        </w:tc>
        <w:tc>
          <w:tcPr>
            <w:tcW w:type="dxa" w:w="5184"/>
            <w:vAlign w:val="top"/>
          </w:tcPr>
          <w:p>
            <w:r/>
            <w:r>
              <w:rPr>
                <w:rFonts w:ascii="Arial" w:hAnsi="Arial"/>
                <w:b w:val="0"/>
                <w:color w:val="1F2937"/>
                <w:sz w:val="16"/>
              </w:rPr>
              <w:t>Recommend profile creation and programme exploration.</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AUTOMATED JOURNEY</w:t>
              <w:br/>
            </w:r>
            <w:r>
              <w:rPr>
                <w:rFonts w:ascii="Arial" w:hAnsi="Arial"/>
                <w:b/>
                <w:color w:val="FFFFFF"/>
                <w:sz w:val="36"/>
              </w:rPr>
              <w:t>31. Email Nurture Sequence</w:t>
            </w:r>
            <w:r>
              <w:rPr>
                <w:rFonts w:ascii="Arial" w:hAnsi="Arial"/>
                <w:color w:val="DDE6F0"/>
                <w:sz w:val="18"/>
              </w:rPr>
              <w:br/>
              <w:t>Admissions copy for qualified leads</w:t>
            </w:r>
          </w:p>
        </w:tc>
      </w:tr>
    </w:tbl>
    <w:tbl>
      <w:tblPr>
        <w:tblStyle w:val="TableGrid"/>
        <w:tblW w:type="auto" w:w="0"/>
        <w:jc w:val="center"/>
        <w:tblLook w:firstColumn="1" w:firstRow="1" w:lastColumn="0" w:lastRow="0" w:noHBand="0" w:noVBand="1" w:val="04A0"/>
      </w:tblPr>
      <w:tblGrid>
        <w:gridCol w:w="3456"/>
        <w:gridCol w:w="3456"/>
        <w:gridCol w:w="3456"/>
      </w:tblGrid>
      <w:tr>
        <w:tc>
          <w:tcPr>
            <w:tcW w:type="dxa" w:w="3456"/>
            <w:vAlign w:val="top"/>
            <w:shd w:fill="0B1F3A"/>
          </w:tcPr>
          <w:p>
            <w:r/>
            <w:r>
              <w:rPr>
                <w:rFonts w:ascii="Arial" w:hAnsi="Arial"/>
                <w:b/>
                <w:color w:val="FFFFFF"/>
                <w:sz w:val="16"/>
              </w:rPr>
              <w:t>Timing</w:t>
            </w:r>
          </w:p>
        </w:tc>
        <w:tc>
          <w:tcPr>
            <w:tcW w:type="dxa" w:w="3456"/>
            <w:vAlign w:val="top"/>
            <w:shd w:fill="0B1F3A"/>
          </w:tcPr>
          <w:p>
            <w:r/>
            <w:r>
              <w:rPr>
                <w:rFonts w:ascii="Arial" w:hAnsi="Arial"/>
                <w:b/>
                <w:color w:val="FFFFFF"/>
                <w:sz w:val="16"/>
              </w:rPr>
              <w:t>Subject</w:t>
            </w:r>
          </w:p>
        </w:tc>
        <w:tc>
          <w:tcPr>
            <w:tcW w:type="dxa" w:w="3456"/>
            <w:vAlign w:val="top"/>
            <w:shd w:fill="0B1F3A"/>
          </w:tcPr>
          <w:p>
            <w:r/>
            <w:r>
              <w:rPr>
                <w:rFonts w:ascii="Arial" w:hAnsi="Arial"/>
                <w:b/>
                <w:color w:val="FFFFFF"/>
                <w:sz w:val="16"/>
              </w:rPr>
              <w:t>Purpose</w:t>
            </w:r>
          </w:p>
        </w:tc>
      </w:tr>
      <w:tr>
        <w:tc>
          <w:tcPr>
            <w:tcW w:type="dxa" w:w="3456"/>
            <w:vAlign w:val="top"/>
          </w:tcPr>
          <w:p>
            <w:r/>
            <w:r>
              <w:rPr>
                <w:rFonts w:ascii="Arial" w:hAnsi="Arial"/>
                <w:b w:val="0"/>
                <w:color w:val="1F2937"/>
                <w:sz w:val="16"/>
              </w:rPr>
              <w:t>Instant</w:t>
            </w:r>
          </w:p>
        </w:tc>
        <w:tc>
          <w:tcPr>
            <w:tcW w:type="dxa" w:w="3456"/>
            <w:vAlign w:val="top"/>
          </w:tcPr>
          <w:p>
            <w:r/>
            <w:r>
              <w:rPr>
                <w:rFonts w:ascii="Arial" w:hAnsi="Arial"/>
                <w:b w:val="0"/>
                <w:color w:val="1F2937"/>
                <w:sz w:val="16"/>
              </w:rPr>
              <w:t>Your LSSE Digital Prospectus</w:t>
            </w:r>
          </w:p>
        </w:tc>
        <w:tc>
          <w:tcPr>
            <w:tcW w:type="dxa" w:w="3456"/>
            <w:vAlign w:val="top"/>
          </w:tcPr>
          <w:p>
            <w:r/>
            <w:r>
              <w:rPr>
                <w:rFonts w:ascii="Arial" w:hAnsi="Arial"/>
                <w:b w:val="0"/>
                <w:color w:val="1F2937"/>
                <w:sz w:val="16"/>
              </w:rPr>
              <w:t>Send download link, welcome message and next steps.</w:t>
            </w:r>
          </w:p>
        </w:tc>
      </w:tr>
      <w:tr>
        <w:tc>
          <w:tcPr>
            <w:tcW w:type="dxa" w:w="3456"/>
            <w:vAlign w:val="top"/>
          </w:tcPr>
          <w:p>
            <w:r/>
            <w:r>
              <w:rPr>
                <w:rFonts w:ascii="Arial" w:hAnsi="Arial"/>
                <w:b w:val="0"/>
                <w:color w:val="1F2937"/>
                <w:sz w:val="16"/>
              </w:rPr>
              <w:t>48 Hours</w:t>
            </w:r>
          </w:p>
        </w:tc>
        <w:tc>
          <w:tcPr>
            <w:tcW w:type="dxa" w:w="3456"/>
            <w:vAlign w:val="top"/>
          </w:tcPr>
          <w:p>
            <w:r/>
            <w:r>
              <w:rPr>
                <w:rFonts w:ascii="Arial" w:hAnsi="Arial"/>
                <w:b w:val="0"/>
                <w:color w:val="1F2937"/>
                <w:sz w:val="16"/>
              </w:rPr>
              <w:t>Which LSSE pathway is right for you?</w:t>
            </w:r>
          </w:p>
        </w:tc>
        <w:tc>
          <w:tcPr>
            <w:tcW w:type="dxa" w:w="3456"/>
            <w:vAlign w:val="top"/>
          </w:tcPr>
          <w:p>
            <w:r/>
            <w:r>
              <w:rPr>
                <w:rFonts w:ascii="Arial" w:hAnsi="Arial"/>
                <w:b w:val="0"/>
                <w:color w:val="1F2937"/>
                <w:sz w:val="16"/>
              </w:rPr>
              <w:t>Explain Short, Certificate, Online and Executive Education formats.</w:t>
            </w:r>
          </w:p>
        </w:tc>
      </w:tr>
      <w:tr>
        <w:tc>
          <w:tcPr>
            <w:tcW w:type="dxa" w:w="3456"/>
            <w:vAlign w:val="top"/>
          </w:tcPr>
          <w:p>
            <w:r/>
            <w:r>
              <w:rPr>
                <w:rFonts w:ascii="Arial" w:hAnsi="Arial"/>
                <w:b w:val="0"/>
                <w:color w:val="1F2937"/>
                <w:sz w:val="16"/>
              </w:rPr>
              <w:t>Day 5</w:t>
            </w:r>
          </w:p>
        </w:tc>
        <w:tc>
          <w:tcPr>
            <w:tcW w:type="dxa" w:w="3456"/>
            <w:vAlign w:val="top"/>
          </w:tcPr>
          <w:p>
            <w:r/>
            <w:r>
              <w:rPr>
                <w:rFonts w:ascii="Arial" w:hAnsi="Arial"/>
                <w:b w:val="0"/>
                <w:color w:val="1F2937"/>
                <w:sz w:val="16"/>
              </w:rPr>
              <w:t>Build capability in ESG, social enterprise and leadership</w:t>
            </w:r>
          </w:p>
        </w:tc>
        <w:tc>
          <w:tcPr>
            <w:tcW w:type="dxa" w:w="3456"/>
            <w:vAlign w:val="top"/>
          </w:tcPr>
          <w:p>
            <w:r/>
            <w:r>
              <w:rPr>
                <w:rFonts w:ascii="Arial" w:hAnsi="Arial"/>
                <w:b w:val="0"/>
                <w:color w:val="1F2937"/>
                <w:sz w:val="16"/>
              </w:rPr>
              <w:t>Highlight ESG and certification pathways.</w:t>
            </w:r>
          </w:p>
        </w:tc>
      </w:tr>
      <w:tr>
        <w:tc>
          <w:tcPr>
            <w:tcW w:type="dxa" w:w="3456"/>
            <w:vAlign w:val="top"/>
          </w:tcPr>
          <w:p>
            <w:r/>
            <w:r>
              <w:rPr>
                <w:rFonts w:ascii="Arial" w:hAnsi="Arial"/>
                <w:b w:val="0"/>
                <w:color w:val="1F2937"/>
                <w:sz w:val="16"/>
              </w:rPr>
              <w:t>Day 10</w:t>
            </w:r>
          </w:p>
        </w:tc>
        <w:tc>
          <w:tcPr>
            <w:tcW w:type="dxa" w:w="3456"/>
            <w:vAlign w:val="top"/>
          </w:tcPr>
          <w:p>
            <w:r/>
            <w:r>
              <w:rPr>
                <w:rFonts w:ascii="Arial" w:hAnsi="Arial"/>
                <w:b w:val="0"/>
                <w:color w:val="1F2937"/>
                <w:sz w:val="16"/>
              </w:rPr>
              <w:t>Ready to take the next step with LSSE?</w:t>
            </w:r>
          </w:p>
        </w:tc>
        <w:tc>
          <w:tcPr>
            <w:tcW w:type="dxa" w:w="3456"/>
            <w:vAlign w:val="top"/>
          </w:tcPr>
          <w:p>
            <w:r/>
            <w:r>
              <w:rPr>
                <w:rFonts w:ascii="Arial" w:hAnsi="Arial"/>
                <w:b w:val="0"/>
                <w:color w:val="1F2937"/>
                <w:sz w:val="16"/>
              </w:rPr>
              <w:t>Invite profile creation, application, consultation or Society membership.</w:t>
            </w:r>
          </w:p>
        </w:tc>
      </w:tr>
      <w:tr>
        <w:tc>
          <w:tcPr>
            <w:tcW w:type="dxa" w:w="3456"/>
            <w:vAlign w:val="top"/>
          </w:tcPr>
          <w:p>
            <w:r/>
            <w:r>
              <w:rPr>
                <w:rFonts w:ascii="Arial" w:hAnsi="Arial"/>
                <w:b w:val="0"/>
                <w:color w:val="1F2937"/>
                <w:sz w:val="16"/>
              </w:rPr>
              <w:t>Day 21</w:t>
            </w:r>
          </w:p>
        </w:tc>
        <w:tc>
          <w:tcPr>
            <w:tcW w:type="dxa" w:w="3456"/>
            <w:vAlign w:val="top"/>
          </w:tcPr>
          <w:p>
            <w:r/>
            <w:r>
              <w:rPr>
                <w:rFonts w:ascii="Arial" w:hAnsi="Arial"/>
                <w:b w:val="0"/>
                <w:color w:val="1F2937"/>
                <w:sz w:val="16"/>
              </w:rPr>
              <w:t>Continue your LSSE journey</w:t>
            </w:r>
          </w:p>
        </w:tc>
        <w:tc>
          <w:tcPr>
            <w:tcW w:type="dxa" w:w="3456"/>
            <w:vAlign w:val="top"/>
          </w:tcPr>
          <w:p>
            <w:r/>
            <w:r>
              <w:rPr>
                <w:rFonts w:ascii="Arial" w:hAnsi="Arial"/>
                <w:b w:val="0"/>
                <w:color w:val="1F2937"/>
                <w:sz w:val="16"/>
              </w:rPr>
              <w:t>Soft re-engagement and information session invitation.</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CRM ARCHITECTURE</w:t>
              <w:br/>
            </w:r>
            <w:r>
              <w:rPr>
                <w:rFonts w:ascii="Arial" w:hAnsi="Arial"/>
                <w:b/>
                <w:color w:val="FFFFFF"/>
                <w:sz w:val="36"/>
              </w:rPr>
              <w:t>32. CRM Segmentation Logic</w:t>
            </w:r>
            <w:r>
              <w:rPr>
                <w:rFonts w:ascii="Arial" w:hAnsi="Arial"/>
                <w:color w:val="DDE6F0"/>
                <w:sz w:val="18"/>
              </w:rPr>
              <w:br/>
              <w:t>Turning prospectus interest into targeted action</w:t>
            </w:r>
          </w:p>
        </w:tc>
      </w:tr>
    </w:tbl>
    <w:p>
      <w:pPr>
        <w:pStyle w:val="ListBullet"/>
      </w:pPr>
      <w:r>
        <w:t>prospectus_requested</w:t>
      </w:r>
    </w:p>
    <w:p>
      <w:pPr>
        <w:pStyle w:val="ListBullet"/>
      </w:pPr>
      <w:r>
        <w:t>interested_short_courses</w:t>
      </w:r>
    </w:p>
    <w:p>
      <w:pPr>
        <w:pStyle w:val="ListBullet"/>
      </w:pPr>
      <w:r>
        <w:t>interested_certificate_programmes</w:t>
      </w:r>
    </w:p>
    <w:p>
      <w:pPr>
        <w:pStyle w:val="ListBullet"/>
      </w:pPr>
      <w:r>
        <w:t>interested_online_courses</w:t>
      </w:r>
    </w:p>
    <w:p>
      <w:pPr>
        <w:pStyle w:val="ListBullet"/>
      </w:pPr>
      <w:r>
        <w:t>interested_executive_education</w:t>
      </w:r>
    </w:p>
    <w:p>
      <w:pPr>
        <w:pStyle w:val="ListBullet"/>
      </w:pPr>
      <w:r>
        <w:t>interested_esg</w:t>
      </w:r>
    </w:p>
    <w:p>
      <w:pPr>
        <w:pStyle w:val="ListBullet"/>
      </w:pPr>
      <w:r>
        <w:t>interested_certification</w:t>
      </w:r>
    </w:p>
    <w:p>
      <w:pPr>
        <w:pStyle w:val="ListBullet"/>
      </w:pPr>
      <w:r>
        <w:t>interested_society</w:t>
      </w:r>
    </w:p>
    <w:p>
      <w:pPr>
        <w:pStyle w:val="ListBullet"/>
      </w:pPr>
      <w:r>
        <w:t>interested_corporate_training</w:t>
      </w:r>
    </w:p>
    <w:p>
      <w:pPr>
        <w:pStyle w:val="ListBullet"/>
      </w:pPr>
      <w:r>
        <w:t>high_intent_lead</w:t>
      </w:r>
    </w:p>
    <w:p>
      <w:pPr>
        <w:pStyle w:val="ListBullet"/>
      </w:pPr>
      <w:r>
        <w:t>uk_lead</w:t>
      </w:r>
    </w:p>
    <w:p>
      <w:pPr>
        <w:pStyle w:val="ListBullet"/>
      </w:pPr>
      <w:r>
        <w:t>international_lead</w:t>
      </w:r>
    </w:p>
    <w:p>
      <w:pPr>
        <w:spacing w:after="100"/>
      </w:pPr>
      <w:r>
        <w:t>These tags should trigger different email content, admissions routing and campaign reporting. Executive and institutional leads should not enter the same follow-up stream as general learners.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PERFORMANCE FRAMEWORK</w:t>
              <w:br/>
            </w:r>
            <w:r>
              <w:rPr>
                <w:rFonts w:ascii="Arial" w:hAnsi="Arial"/>
                <w:b/>
                <w:color w:val="FFFFFF"/>
                <w:sz w:val="36"/>
              </w:rPr>
              <w:t>33. Lead Scoring and Conversion Metrics</w:t>
            </w:r>
            <w:r>
              <w:rPr>
                <w:rFonts w:ascii="Arial" w:hAnsi="Arial"/>
                <w:color w:val="DDE6F0"/>
                <w:sz w:val="18"/>
              </w:rPr>
              <w:br/>
              <w:t>Measuring seriousness and admissions readiness</w:t>
            </w:r>
          </w:p>
        </w:tc>
      </w:tr>
    </w:tbl>
    <w:tbl>
      <w:tblPr>
        <w:tblStyle w:val="TableGrid"/>
        <w:tblW w:type="auto" w:w="0"/>
        <w:jc w:val="center"/>
        <w:tblLook w:firstColumn="1" w:firstRow="1" w:lastColumn="0" w:lastRow="0" w:noHBand="0" w:noVBand="1" w:val="04A0"/>
      </w:tblPr>
      <w:tblGrid>
        <w:gridCol w:w="3456"/>
        <w:gridCol w:w="3456"/>
        <w:gridCol w:w="3456"/>
      </w:tblGrid>
      <w:tr>
        <w:tc>
          <w:tcPr>
            <w:tcW w:type="dxa" w:w="3456"/>
            <w:vAlign w:val="top"/>
            <w:shd w:fill="0B1F3A"/>
          </w:tcPr>
          <w:p>
            <w:r/>
            <w:r>
              <w:rPr>
                <w:rFonts w:ascii="Arial" w:hAnsi="Arial"/>
                <w:b/>
                <w:color w:val="FFFFFF"/>
                <w:sz w:val="16"/>
              </w:rPr>
              <w:t>Action</w:t>
            </w:r>
          </w:p>
        </w:tc>
        <w:tc>
          <w:tcPr>
            <w:tcW w:type="dxa" w:w="3456"/>
            <w:vAlign w:val="top"/>
            <w:shd w:fill="0B1F3A"/>
          </w:tcPr>
          <w:p>
            <w:r/>
            <w:r>
              <w:rPr>
                <w:rFonts w:ascii="Arial" w:hAnsi="Arial"/>
                <w:b/>
                <w:color w:val="FFFFFF"/>
                <w:sz w:val="16"/>
              </w:rPr>
              <w:t>Score</w:t>
            </w:r>
          </w:p>
        </w:tc>
        <w:tc>
          <w:tcPr>
            <w:tcW w:type="dxa" w:w="3456"/>
            <w:vAlign w:val="top"/>
            <w:shd w:fill="0B1F3A"/>
          </w:tcPr>
          <w:p>
            <w:r/>
            <w:r>
              <w:rPr>
                <w:rFonts w:ascii="Arial" w:hAnsi="Arial"/>
                <w:b/>
                <w:color w:val="FFFFFF"/>
                <w:sz w:val="16"/>
              </w:rPr>
              <w:t>Interpretation</w:t>
            </w:r>
          </w:p>
        </w:tc>
      </w:tr>
      <w:tr>
        <w:tc>
          <w:tcPr>
            <w:tcW w:type="dxa" w:w="3456"/>
            <w:vAlign w:val="top"/>
          </w:tcPr>
          <w:p>
            <w:r/>
            <w:r>
              <w:rPr>
                <w:rFonts w:ascii="Arial" w:hAnsi="Arial"/>
                <w:b w:val="0"/>
                <w:color w:val="1F2937"/>
                <w:sz w:val="17"/>
              </w:rPr>
              <w:t>Prospectus requested</w:t>
            </w:r>
          </w:p>
        </w:tc>
        <w:tc>
          <w:tcPr>
            <w:tcW w:type="dxa" w:w="3456"/>
            <w:vAlign w:val="top"/>
          </w:tcPr>
          <w:p>
            <w:r/>
            <w:r>
              <w:rPr>
                <w:rFonts w:ascii="Arial" w:hAnsi="Arial"/>
                <w:b w:val="0"/>
                <w:color w:val="1F2937"/>
                <w:sz w:val="17"/>
              </w:rPr>
              <w:t>10</w:t>
            </w:r>
          </w:p>
        </w:tc>
        <w:tc>
          <w:tcPr>
            <w:tcW w:type="dxa" w:w="3456"/>
            <w:vAlign w:val="top"/>
          </w:tcPr>
          <w:p>
            <w:r/>
            <w:r>
              <w:rPr>
                <w:rFonts w:ascii="Arial" w:hAnsi="Arial"/>
                <w:b w:val="0"/>
                <w:color w:val="1F2937"/>
                <w:sz w:val="17"/>
              </w:rPr>
              <w:t>Initial conversion.</w:t>
            </w:r>
          </w:p>
        </w:tc>
      </w:tr>
      <w:tr>
        <w:tc>
          <w:tcPr>
            <w:tcW w:type="dxa" w:w="3456"/>
            <w:vAlign w:val="top"/>
          </w:tcPr>
          <w:p>
            <w:r/>
            <w:r>
              <w:rPr>
                <w:rFonts w:ascii="Arial" w:hAnsi="Arial"/>
                <w:b w:val="0"/>
                <w:color w:val="1F2937"/>
                <w:sz w:val="17"/>
              </w:rPr>
              <w:t>Clicked programme link</w:t>
            </w:r>
          </w:p>
        </w:tc>
        <w:tc>
          <w:tcPr>
            <w:tcW w:type="dxa" w:w="3456"/>
            <w:vAlign w:val="top"/>
          </w:tcPr>
          <w:p>
            <w:r/>
            <w:r>
              <w:rPr>
                <w:rFonts w:ascii="Arial" w:hAnsi="Arial"/>
                <w:b w:val="0"/>
                <w:color w:val="1F2937"/>
                <w:sz w:val="17"/>
              </w:rPr>
              <w:t>15</w:t>
            </w:r>
          </w:p>
        </w:tc>
        <w:tc>
          <w:tcPr>
            <w:tcW w:type="dxa" w:w="3456"/>
            <w:vAlign w:val="top"/>
          </w:tcPr>
          <w:p>
            <w:r/>
            <w:r>
              <w:rPr>
                <w:rFonts w:ascii="Arial" w:hAnsi="Arial"/>
                <w:b w:val="0"/>
                <w:color w:val="1F2937"/>
                <w:sz w:val="17"/>
              </w:rPr>
              <w:t>Active interest.</w:t>
            </w:r>
          </w:p>
        </w:tc>
      </w:tr>
      <w:tr>
        <w:tc>
          <w:tcPr>
            <w:tcW w:type="dxa" w:w="3456"/>
            <w:vAlign w:val="top"/>
          </w:tcPr>
          <w:p>
            <w:r/>
            <w:r>
              <w:rPr>
                <w:rFonts w:ascii="Arial" w:hAnsi="Arial"/>
                <w:b w:val="0"/>
                <w:color w:val="1F2937"/>
                <w:sz w:val="17"/>
              </w:rPr>
              <w:t>Created profile</w:t>
            </w:r>
          </w:p>
        </w:tc>
        <w:tc>
          <w:tcPr>
            <w:tcW w:type="dxa" w:w="3456"/>
            <w:vAlign w:val="top"/>
          </w:tcPr>
          <w:p>
            <w:r/>
            <w:r>
              <w:rPr>
                <w:rFonts w:ascii="Arial" w:hAnsi="Arial"/>
                <w:b w:val="0"/>
                <w:color w:val="1F2937"/>
                <w:sz w:val="17"/>
              </w:rPr>
              <w:t>30</w:t>
            </w:r>
          </w:p>
        </w:tc>
        <w:tc>
          <w:tcPr>
            <w:tcW w:type="dxa" w:w="3456"/>
            <w:vAlign w:val="top"/>
          </w:tcPr>
          <w:p>
            <w:r/>
            <w:r>
              <w:rPr>
                <w:rFonts w:ascii="Arial" w:hAnsi="Arial"/>
                <w:b w:val="0"/>
                <w:color w:val="1F2937"/>
                <w:sz w:val="17"/>
              </w:rPr>
              <w:t>Qualified lead.</w:t>
            </w:r>
          </w:p>
        </w:tc>
      </w:tr>
      <w:tr>
        <w:tc>
          <w:tcPr>
            <w:tcW w:type="dxa" w:w="3456"/>
            <w:vAlign w:val="top"/>
          </w:tcPr>
          <w:p>
            <w:r/>
            <w:r>
              <w:rPr>
                <w:rFonts w:ascii="Arial" w:hAnsi="Arial"/>
                <w:b w:val="0"/>
                <w:color w:val="1F2937"/>
                <w:sz w:val="17"/>
              </w:rPr>
              <w:t>Started application</w:t>
            </w:r>
          </w:p>
        </w:tc>
        <w:tc>
          <w:tcPr>
            <w:tcW w:type="dxa" w:w="3456"/>
            <w:vAlign w:val="top"/>
          </w:tcPr>
          <w:p>
            <w:r/>
            <w:r>
              <w:rPr>
                <w:rFonts w:ascii="Arial" w:hAnsi="Arial"/>
                <w:b w:val="0"/>
                <w:color w:val="1F2937"/>
                <w:sz w:val="17"/>
              </w:rPr>
              <w:t>50</w:t>
            </w:r>
          </w:p>
        </w:tc>
        <w:tc>
          <w:tcPr>
            <w:tcW w:type="dxa" w:w="3456"/>
            <w:vAlign w:val="top"/>
          </w:tcPr>
          <w:p>
            <w:r/>
            <w:r>
              <w:rPr>
                <w:rFonts w:ascii="Arial" w:hAnsi="Arial"/>
                <w:b w:val="0"/>
                <w:color w:val="1F2937"/>
                <w:sz w:val="17"/>
              </w:rPr>
              <w:t>High intent.</w:t>
            </w:r>
          </w:p>
        </w:tc>
      </w:tr>
      <w:tr>
        <w:tc>
          <w:tcPr>
            <w:tcW w:type="dxa" w:w="3456"/>
            <w:vAlign w:val="top"/>
          </w:tcPr>
          <w:p>
            <w:r/>
            <w:r>
              <w:rPr>
                <w:rFonts w:ascii="Arial" w:hAnsi="Arial"/>
                <w:b w:val="0"/>
                <w:color w:val="1F2937"/>
                <w:sz w:val="17"/>
              </w:rPr>
              <w:t>Booked consultation</w:t>
            </w:r>
          </w:p>
        </w:tc>
        <w:tc>
          <w:tcPr>
            <w:tcW w:type="dxa" w:w="3456"/>
            <w:vAlign w:val="top"/>
          </w:tcPr>
          <w:p>
            <w:r/>
            <w:r>
              <w:rPr>
                <w:rFonts w:ascii="Arial" w:hAnsi="Arial"/>
                <w:b w:val="0"/>
                <w:color w:val="1F2937"/>
                <w:sz w:val="17"/>
              </w:rPr>
              <w:t>60</w:t>
            </w:r>
          </w:p>
        </w:tc>
        <w:tc>
          <w:tcPr>
            <w:tcW w:type="dxa" w:w="3456"/>
            <w:vAlign w:val="top"/>
          </w:tcPr>
          <w:p>
            <w:r/>
            <w:r>
              <w:rPr>
                <w:rFonts w:ascii="Arial" w:hAnsi="Arial"/>
                <w:b w:val="0"/>
                <w:color w:val="1F2937"/>
                <w:sz w:val="17"/>
              </w:rPr>
              <w:t>Priority follow-up.</w:t>
            </w:r>
          </w:p>
        </w:tc>
      </w:tr>
      <w:tr>
        <w:tc>
          <w:tcPr>
            <w:tcW w:type="dxa" w:w="3456"/>
            <w:vAlign w:val="top"/>
          </w:tcPr>
          <w:p>
            <w:r/>
            <w:r>
              <w:rPr>
                <w:rFonts w:ascii="Arial" w:hAnsi="Arial"/>
                <w:b w:val="0"/>
                <w:color w:val="1F2937"/>
                <w:sz w:val="17"/>
              </w:rPr>
              <w:t>Paid fee or submitted application</w:t>
            </w:r>
          </w:p>
        </w:tc>
        <w:tc>
          <w:tcPr>
            <w:tcW w:type="dxa" w:w="3456"/>
            <w:vAlign w:val="top"/>
          </w:tcPr>
          <w:p>
            <w:r/>
            <w:r>
              <w:rPr>
                <w:rFonts w:ascii="Arial" w:hAnsi="Arial"/>
                <w:b w:val="0"/>
                <w:color w:val="1F2937"/>
                <w:sz w:val="17"/>
              </w:rPr>
              <w:t>100</w:t>
            </w:r>
          </w:p>
        </w:tc>
        <w:tc>
          <w:tcPr>
            <w:tcW w:type="dxa" w:w="3456"/>
            <w:vAlign w:val="top"/>
          </w:tcPr>
          <w:p>
            <w:r/>
            <w:r>
              <w:rPr>
                <w:rFonts w:ascii="Arial" w:hAnsi="Arial"/>
                <w:b w:val="0"/>
                <w:color w:val="1F2937"/>
                <w:sz w:val="17"/>
              </w:rPr>
              <w:t>Converted.</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ADMISSIONS PROCESS</w:t>
              <w:br/>
            </w:r>
            <w:r>
              <w:rPr>
                <w:rFonts w:ascii="Arial" w:hAnsi="Arial"/>
                <w:b/>
                <w:color w:val="FFFFFF"/>
                <w:sz w:val="36"/>
              </w:rPr>
              <w:t>34. Admissions Conversion System</w:t>
            </w:r>
            <w:r>
              <w:rPr>
                <w:rFonts w:ascii="Arial" w:hAnsi="Arial"/>
                <w:color w:val="DDE6F0"/>
                <w:sz w:val="18"/>
              </w:rPr>
              <w:br/>
              <w:t>Operational handoff after prospectus request</w:t>
            </w:r>
          </w:p>
        </w:tc>
      </w:tr>
    </w:tbl>
    <w:p>
      <w:pPr>
        <w:spacing w:after="100"/>
      </w:pPr>
      <w:r>
        <w:t>Admissions should route each lead based on stated interest and behaviour. The key operating principle is precision: send the right prospect into the right pathway quickly.</w:t>
      </w:r>
    </w:p>
    <w:tbl>
      <w:tblPr>
        <w:tblStyle w:val="TableGrid"/>
        <w:tblW w:type="auto" w:w="0"/>
        <w:jc w:val="center"/>
        <w:tblLook w:firstColumn="1" w:firstRow="1" w:lastColumn="0" w:lastRow="0" w:noHBand="0" w:noVBand="1" w:val="04A0"/>
      </w:tblPr>
      <w:tblGrid>
        <w:gridCol w:w="5184"/>
        <w:gridCol w:w="5184"/>
      </w:tblGrid>
      <w:tr>
        <w:tc>
          <w:tcPr>
            <w:tcW w:type="dxa" w:w="5184"/>
            <w:vAlign w:val="top"/>
            <w:shd w:fill="0B1F3A"/>
          </w:tcPr>
          <w:p>
            <w:r/>
            <w:r>
              <w:rPr>
                <w:rFonts w:ascii="Arial" w:hAnsi="Arial"/>
                <w:b/>
                <w:color w:val="FFFFFF"/>
                <w:sz w:val="16"/>
              </w:rPr>
              <w:t>Topic</w:t>
            </w:r>
          </w:p>
        </w:tc>
        <w:tc>
          <w:tcPr>
            <w:tcW w:type="dxa" w:w="5184"/>
            <w:vAlign w:val="top"/>
            <w:shd w:fill="0B1F3A"/>
          </w:tcPr>
          <w:p>
            <w:r/>
            <w:r>
              <w:rPr>
                <w:rFonts w:ascii="Arial" w:hAnsi="Arial"/>
                <w:b/>
                <w:color w:val="FFFFFF"/>
                <w:sz w:val="16"/>
              </w:rPr>
              <w:t>Institutional message</w:t>
            </w:r>
          </w:p>
        </w:tc>
      </w:tr>
      <w:tr>
        <w:tc>
          <w:tcPr>
            <w:tcW w:type="dxa" w:w="5184"/>
            <w:vAlign w:val="top"/>
            <w:shd w:fill="F3F6FA"/>
          </w:tcPr>
          <w:p>
            <w:r/>
            <w:r>
              <w:rPr>
                <w:rFonts w:ascii="Arial" w:hAnsi="Arial"/>
                <w:b/>
                <w:color w:val="0B1F3A"/>
                <w:sz w:val="17"/>
              </w:rPr>
              <w:t>Short / Certificate / Online</w:t>
            </w:r>
          </w:p>
        </w:tc>
        <w:tc>
          <w:tcPr>
            <w:tcW w:type="dxa" w:w="5184"/>
            <w:vAlign w:val="top"/>
          </w:tcPr>
          <w:p>
            <w:r/>
            <w:r>
              <w:rPr>
                <w:rFonts w:ascii="Arial" w:hAnsi="Arial"/>
                <w:b w:val="0"/>
                <w:color w:val="1F2937"/>
                <w:sz w:val="16"/>
              </w:rPr>
              <w:t>Admissions sends programme links and invites LSSE profile creation.</w:t>
            </w:r>
          </w:p>
        </w:tc>
      </w:tr>
      <w:tr>
        <w:tc>
          <w:tcPr>
            <w:tcW w:type="dxa" w:w="5184"/>
            <w:vAlign w:val="top"/>
            <w:shd w:fill="F3F6FA"/>
          </w:tcPr>
          <w:p>
            <w:r/>
            <w:r>
              <w:rPr>
                <w:rFonts w:ascii="Arial" w:hAnsi="Arial"/>
                <w:b/>
                <w:color w:val="0B1F3A"/>
                <w:sz w:val="17"/>
              </w:rPr>
              <w:t>Executive Education</w:t>
            </w:r>
          </w:p>
        </w:tc>
        <w:tc>
          <w:tcPr>
            <w:tcW w:type="dxa" w:w="5184"/>
            <w:vAlign w:val="top"/>
          </w:tcPr>
          <w:p>
            <w:r/>
            <w:r>
              <w:rPr>
                <w:rFonts w:ascii="Arial" w:hAnsi="Arial"/>
                <w:b w:val="0"/>
                <w:color w:val="1F2937"/>
                <w:sz w:val="16"/>
              </w:rPr>
              <w:t>Executive lead offers consultation and cohort discussion.</w:t>
            </w:r>
          </w:p>
        </w:tc>
      </w:tr>
      <w:tr>
        <w:tc>
          <w:tcPr>
            <w:tcW w:type="dxa" w:w="5184"/>
            <w:vAlign w:val="top"/>
            <w:shd w:fill="F3F6FA"/>
          </w:tcPr>
          <w:p>
            <w:r/>
            <w:r>
              <w:rPr>
                <w:rFonts w:ascii="Arial" w:hAnsi="Arial"/>
                <w:b/>
                <w:color w:val="0B1F3A"/>
                <w:sz w:val="17"/>
              </w:rPr>
              <w:t>Certification</w:t>
            </w:r>
          </w:p>
        </w:tc>
        <w:tc>
          <w:tcPr>
            <w:tcW w:type="dxa" w:w="5184"/>
            <w:vAlign w:val="top"/>
          </w:tcPr>
          <w:p>
            <w:r/>
            <w:r>
              <w:rPr>
                <w:rFonts w:ascii="Arial" w:hAnsi="Arial"/>
                <w:b w:val="0"/>
                <w:color w:val="1F2937"/>
                <w:sz w:val="16"/>
              </w:rPr>
              <w:t>Certification team sends assessment framework and application portal.</w:t>
            </w:r>
          </w:p>
        </w:tc>
      </w:tr>
      <w:tr>
        <w:tc>
          <w:tcPr>
            <w:tcW w:type="dxa" w:w="5184"/>
            <w:vAlign w:val="top"/>
            <w:shd w:fill="F3F6FA"/>
          </w:tcPr>
          <w:p>
            <w:r/>
            <w:r>
              <w:rPr>
                <w:rFonts w:ascii="Arial" w:hAnsi="Arial"/>
                <w:b/>
                <w:color w:val="0B1F3A"/>
                <w:sz w:val="17"/>
              </w:rPr>
              <w:t>Society</w:t>
            </w:r>
          </w:p>
        </w:tc>
        <w:tc>
          <w:tcPr>
            <w:tcW w:type="dxa" w:w="5184"/>
            <w:vAlign w:val="top"/>
          </w:tcPr>
          <w:p>
            <w:r/>
            <w:r>
              <w:rPr>
                <w:rFonts w:ascii="Arial" w:hAnsi="Arial"/>
                <w:b w:val="0"/>
                <w:color w:val="1F2937"/>
                <w:sz w:val="16"/>
              </w:rPr>
              <w:t>Membership team sends membership grades and member benefits.</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ADMISSIONS TEMPLATE</w:t>
              <w:br/>
            </w:r>
            <w:r>
              <w:rPr>
                <w:rFonts w:ascii="Arial" w:hAnsi="Arial"/>
                <w:b/>
                <w:color w:val="FFFFFF"/>
                <w:sz w:val="36"/>
              </w:rPr>
              <w:t>35. Admissions Follow-Up Script</w:t>
            </w:r>
            <w:r>
              <w:rPr>
                <w:rFonts w:ascii="Arial" w:hAnsi="Arial"/>
                <w:color w:val="DDE6F0"/>
                <w:sz w:val="18"/>
              </w:rPr>
              <w:br/>
              <w:t>Professional outreach message</w:t>
            </w:r>
          </w:p>
        </w:tc>
      </w:tr>
    </w:tbl>
    <w:p>
      <w:pPr>
        <w:spacing w:after="100"/>
      </w:pPr>
      <w:r>
        <w:t>Dear [Name], thank you for requesting the LSSE Prospectus. I wanted to follow up to understand which pathway you are considering and whether you would like guidance on the most appropriate programme. LSSE offers short courses, certificate programmes, online learning, executive education, ESG programmes, Social Entrepreneur Certification and Society membership. I would be happy to direct you to the right pathway based on your goals.</w:t>
      </w:r>
    </w:p>
    <w:p>
      <w:pPr>
        <w:pStyle w:val="Heading2"/>
      </w:pPr>
      <w:r>
        <w:t>Follow-up principles</w:t>
      </w:r>
    </w:p>
    <w:p>
      <w:pPr>
        <w:pStyle w:val="ListBullet"/>
      </w:pPr>
      <w:r>
        <w:t>Respond quickly to high-intent leads.</w:t>
      </w:r>
    </w:p>
    <w:p>
      <w:pPr>
        <w:pStyle w:val="ListBullet"/>
      </w:pPr>
      <w:r>
        <w:t>Route intelligently; do not over-sell.</w:t>
      </w:r>
    </w:p>
    <w:p>
      <w:pPr>
        <w:pStyle w:val="ListBullet"/>
      </w:pPr>
      <w:r>
        <w:t>Use the prospect’s declared interest to personalise guidance.</w:t>
      </w:r>
    </w:p>
    <w:p>
      <w:pPr>
        <w:pStyle w:val="ListBullet"/>
      </w:pPr>
      <w:r>
        <w:t>Encourage profile creation as the next operational step.</w:t>
      </w:r>
    </w:p>
    <w:p>
      <w:pPr>
        <w:pStyle w:val="ListBullet"/>
      </w:pPr>
      <w:r>
        <w:t>Offer eligibility consultations for certification and executive education leads.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WEB IMPLEMENTATION</w:t>
              <w:br/>
            </w:r>
            <w:r>
              <w:rPr>
                <w:rFonts w:ascii="Arial" w:hAnsi="Arial"/>
                <w:b/>
                <w:color w:val="FFFFFF"/>
                <w:sz w:val="36"/>
              </w:rPr>
              <w:t>36. Developer Implementation Blueprint</w:t>
            </w:r>
            <w:r>
              <w:rPr>
                <w:rFonts w:ascii="Arial" w:hAnsi="Arial"/>
                <w:color w:val="DDE6F0"/>
                <w:sz w:val="18"/>
              </w:rPr>
              <w:br/>
              <w:t>Pages, components and integration requirements</w:t>
            </w:r>
          </w:p>
        </w:tc>
      </w:tr>
    </w:tbl>
    <w:p>
      <w:pPr>
        <w:pStyle w:val="ListBullet"/>
      </w:pPr>
      <w:r>
        <w:t>/prospectus</w:t>
      </w:r>
    </w:p>
    <w:p>
      <w:pPr>
        <w:pStyle w:val="ListBullet"/>
      </w:pPr>
      <w:r>
        <w:t>/prospectus/thank-you</w:t>
      </w:r>
    </w:p>
    <w:p>
      <w:pPr>
        <w:pStyle w:val="ListBullet"/>
      </w:pPr>
      <w:r>
        <w:t>/create-profile</w:t>
      </w:r>
    </w:p>
    <w:p>
      <w:pPr>
        <w:pStyle w:val="ListBullet"/>
      </w:pPr>
      <w:r>
        <w:t>/programmes</w:t>
      </w:r>
    </w:p>
    <w:p>
      <w:pPr>
        <w:pStyle w:val="ListBullet"/>
      </w:pPr>
      <w:r>
        <w:t>/executive-education</w:t>
      </w:r>
    </w:p>
    <w:p>
      <w:pPr>
        <w:pStyle w:val="ListBullet"/>
      </w:pPr>
      <w:r>
        <w:t>/esg-programmes</w:t>
      </w:r>
    </w:p>
    <w:p>
      <w:pPr>
        <w:pStyle w:val="ListBullet"/>
      </w:pPr>
      <w:r>
        <w:t>/social-entrepreneur-certification</w:t>
      </w:r>
    </w:p>
    <w:p>
      <w:pPr>
        <w:pStyle w:val="ListBullet"/>
      </w:pPr>
      <w:r>
        <w:t>/lsse-society</w:t>
      </w:r>
    </w:p>
    <w:p>
      <w:pPr>
        <w:pStyle w:val="ListBullet"/>
      </w:pPr>
      <w:r>
        <w:t>/contact</w:t>
      </w:r>
    </w:p>
    <w:p>
      <w:pPr>
        <w:pStyle w:val="Heading2"/>
      </w:pPr>
      <w:r>
        <w:t>Core requirements</w:t>
      </w:r>
    </w:p>
    <w:p>
      <w:pPr>
        <w:pStyle w:val="ListBullet"/>
      </w:pPr>
      <w:r>
        <w:t>Multi-step form with progress indicator.</w:t>
      </w:r>
    </w:p>
    <w:p>
      <w:pPr>
        <w:pStyle w:val="ListBullet"/>
      </w:pPr>
      <w:r>
        <w:t>Immediate download and automated email delivery.</w:t>
      </w:r>
    </w:p>
    <w:p>
      <w:pPr>
        <w:pStyle w:val="ListBullet"/>
      </w:pPr>
      <w:r>
        <w:t>CRM integration with interest tagging.</w:t>
      </w:r>
    </w:p>
    <w:p>
      <w:pPr>
        <w:pStyle w:val="ListBullet"/>
      </w:pPr>
      <w:r>
        <w:t>Lead source tracking.</w:t>
      </w:r>
    </w:p>
    <w:p>
      <w:pPr>
        <w:pStyle w:val="ListBullet"/>
      </w:pPr>
      <w:r>
        <w:t>Consent capture and storage.</w:t>
      </w:r>
    </w:p>
    <w:p>
      <w:pPr>
        <w:pStyle w:val="ListBullet"/>
      </w:pPr>
      <w:r>
        <w:t>Admin dashboard for admissions follow-up.</w:t>
      </w:r>
    </w:p>
    <w:p>
      <w:pPr>
        <w:pStyle w:val="ListBullet"/>
      </w:pPr>
      <w:r>
        <w:t>Mobile-first layout and accessibility checks.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DESIGN GUIDANCE</w:t>
              <w:br/>
            </w:r>
            <w:r>
              <w:rPr>
                <w:rFonts w:ascii="Arial" w:hAnsi="Arial"/>
                <w:b/>
                <w:color w:val="FFFFFF"/>
                <w:sz w:val="36"/>
              </w:rPr>
              <w:t>37. Design System and Creative Direction</w:t>
            </w:r>
            <w:r>
              <w:rPr>
                <w:rFonts w:ascii="Arial" w:hAnsi="Arial"/>
                <w:color w:val="DDE6F0"/>
                <w:sz w:val="18"/>
              </w:rPr>
              <w:br/>
              <w:t>Brookfield-style visual discipline</w:t>
            </w:r>
          </w:p>
        </w:tc>
      </w:tr>
    </w:tbl>
    <w:p>
      <w:pPr>
        <w:spacing w:after="100"/>
      </w:pPr>
      <w:r>
        <w:t>The visual identity should be restrained, confident and institutional. It should avoid generic online course design and use a premium editorial feel: strong hierarchy, disciplined grids, sober colours, quality imagery and careful spacing.</w:t>
      </w:r>
    </w:p>
    <w:p>
      <w:pPr>
        <w:pStyle w:val="ListBullet"/>
      </w:pPr>
      <w:r>
        <w:t>Primary colour: deep institutional navy.</w:t>
      </w:r>
    </w:p>
    <w:p>
      <w:pPr>
        <w:pStyle w:val="ListBullet"/>
      </w:pPr>
      <w:r>
        <w:t>Secondary colour: muted royal blue.</w:t>
      </w:r>
    </w:p>
    <w:p>
      <w:pPr>
        <w:pStyle w:val="ListBullet"/>
      </w:pPr>
      <w:r>
        <w:t>Accent colour: restrained gold or warm bronze.</w:t>
      </w:r>
    </w:p>
    <w:p>
      <w:pPr>
        <w:pStyle w:val="ListBullet"/>
      </w:pPr>
      <w:r>
        <w:t>Backgrounds: white, soft grey and light blue-grey.</w:t>
      </w:r>
    </w:p>
    <w:p>
      <w:pPr>
        <w:pStyle w:val="ListBullet"/>
      </w:pPr>
      <w:r>
        <w:t>Typography: modern sans-serif with strong hierarchy.</w:t>
      </w:r>
    </w:p>
    <w:p>
      <w:pPr>
        <w:pStyle w:val="ListBullet"/>
      </w:pPr>
      <w:r>
        <w:t>Imagery: London, learners, institutions, project work and global impact contexts.</w:t>
      </w:r>
    </w:p>
    <w:p>
      <w:pPr>
        <w:pStyle w:val="ListBullet"/>
      </w:pPr>
      <w:r>
        <w:t>Layouts: editorial spreads, structured tables, callout panels and comparison grids.</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GOVERNANCE</w:t>
              <w:br/>
            </w:r>
            <w:r>
              <w:rPr>
                <w:rFonts w:ascii="Arial" w:hAnsi="Arial"/>
                <w:b/>
                <w:color w:val="FFFFFF"/>
                <w:sz w:val="36"/>
              </w:rPr>
              <w:t>38. Governance, Data and Compliance Notes</w:t>
            </w:r>
            <w:r>
              <w:rPr>
                <w:rFonts w:ascii="Arial" w:hAnsi="Arial"/>
                <w:color w:val="DDE6F0"/>
                <w:sz w:val="18"/>
              </w:rPr>
              <w:br/>
              <w:t>Protecting trust and institutional credibility</w:t>
            </w:r>
          </w:p>
        </w:tc>
      </w:tr>
    </w:tbl>
    <w:p>
      <w:pPr>
        <w:spacing w:after="100"/>
      </w:pPr>
      <w:r>
        <w:t>All public statements should remain credible, proportionate and evidence-led. LSSE should avoid claims implying statutory licensing, government authorisation, guaranteed funding outcomes or automatic certification through programme completion.</w:t>
      </w:r>
    </w:p>
    <w:p>
      <w:pPr>
        <w:pStyle w:val="ListBullet"/>
      </w:pPr>
      <w:r>
        <w:t>Capture only data required for admissions, marketing and segmentation.</w:t>
      </w:r>
    </w:p>
    <w:p>
      <w:pPr>
        <w:pStyle w:val="ListBullet"/>
      </w:pPr>
      <w:r>
        <w:t>Use explicit consent for programme updates.</w:t>
      </w:r>
    </w:p>
    <w:p>
      <w:pPr>
        <w:pStyle w:val="ListBullet"/>
      </w:pPr>
      <w:r>
        <w:t>Provide clear privacy policy and unsubscribe options.</w:t>
      </w:r>
    </w:p>
    <w:p>
      <w:pPr>
        <w:pStyle w:val="ListBullet"/>
      </w:pPr>
      <w:r>
        <w:t>Keep prospectus request data secure and access-controlled.</w:t>
      </w:r>
    </w:p>
    <w:p>
      <w:pPr>
        <w:pStyle w:val="ListBullet"/>
      </w:pPr>
      <w:r>
        <w:t>Do not share personal data with third parties without lawful basis and consent.</w:t>
      </w:r>
    </w:p>
    <w:tbl>
      <w:tblPr>
        <w:tblStyle w:val="TableGrid"/>
        <w:tblW w:type="auto" w:w="0"/>
        <w:jc w:val="center"/>
        <w:tblLook w:firstColumn="1" w:firstRow="1" w:lastColumn="0" w:lastRow="0" w:noHBand="0" w:noVBand="1" w:val="04A0"/>
      </w:tblPr>
      <w:tblGrid>
        <w:gridCol w:w="10368"/>
      </w:tblGrid>
      <w:tr>
        <w:tc>
          <w:tcPr>
            <w:tcW w:type="dxa" w:w="10368"/>
            <w:vAlign w:val="top"/>
            <w:shd w:fill="F8F3E7"/>
          </w:tcPr>
          <w:p>
            <w:pPr>
              <w:spacing w:after="120" w:before="120"/>
            </w:pPr>
            <w:r>
              <w:rPr>
                <w:rFonts w:ascii="Arial" w:hAnsi="Arial"/>
                <w:b/>
                <w:color w:val="0B1F3A"/>
                <w:sz w:val="21"/>
              </w:rPr>
              <w:t>Certification disclaimer</w:t>
              <w:br/>
            </w:r>
            <w:r>
              <w:rPr>
                <w:rFonts w:ascii="Arial" w:hAnsi="Arial"/>
                <w:color w:val="1F2937"/>
                <w:sz w:val="18"/>
              </w:rPr>
              <w:t>LSSE professional recognition is awarded under LSSE’s institutional assessment framework. It does not constitute statutory licensing, chartered status or government-regulated professional authorisation. Completion of a course may support an application but does not automatically confer certification.</w:t>
            </w:r>
          </w:p>
        </w:tc>
      </w:tr>
    </w:tbl>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PERFORMANCE</w:t>
              <w:br/>
            </w:r>
            <w:r>
              <w:rPr>
                <w:rFonts w:ascii="Arial" w:hAnsi="Arial"/>
                <w:b/>
                <w:color w:val="FFFFFF"/>
                <w:sz w:val="36"/>
              </w:rPr>
              <w:t>39. Measurement Framework and Dashboard</w:t>
            </w:r>
            <w:r>
              <w:rPr>
                <w:rFonts w:ascii="Arial" w:hAnsi="Arial"/>
                <w:color w:val="DDE6F0"/>
                <w:sz w:val="18"/>
              </w:rPr>
              <w:br/>
              <w:t>KPIs for management review</w:t>
            </w:r>
          </w:p>
        </w:tc>
      </w:tr>
    </w:tbl>
    <w:tbl>
      <w:tblPr>
        <w:tblStyle w:val="TableGrid"/>
        <w:tblW w:type="auto" w:w="0"/>
        <w:jc w:val="center"/>
        <w:tblLook w:firstColumn="1" w:firstRow="1" w:lastColumn="0" w:lastRow="0" w:noHBand="0" w:noVBand="1" w:val="04A0"/>
      </w:tblPr>
      <w:tblGrid>
        <w:gridCol w:w="3456"/>
        <w:gridCol w:w="3456"/>
        <w:gridCol w:w="3456"/>
      </w:tblGrid>
      <w:tr>
        <w:tc>
          <w:tcPr>
            <w:tcW w:type="dxa" w:w="3456"/>
            <w:vAlign w:val="top"/>
            <w:shd w:fill="0B1F3A"/>
          </w:tcPr>
          <w:p>
            <w:r/>
            <w:r>
              <w:rPr>
                <w:rFonts w:ascii="Arial" w:hAnsi="Arial"/>
                <w:b/>
                <w:color w:val="FFFFFF"/>
                <w:sz w:val="16"/>
              </w:rPr>
              <w:t>Metric</w:t>
            </w:r>
          </w:p>
        </w:tc>
        <w:tc>
          <w:tcPr>
            <w:tcW w:type="dxa" w:w="3456"/>
            <w:vAlign w:val="top"/>
            <w:shd w:fill="0B1F3A"/>
          </w:tcPr>
          <w:p>
            <w:r/>
            <w:r>
              <w:rPr>
                <w:rFonts w:ascii="Arial" w:hAnsi="Arial"/>
                <w:b/>
                <w:color w:val="FFFFFF"/>
                <w:sz w:val="16"/>
              </w:rPr>
              <w:t>Insight</w:t>
            </w:r>
          </w:p>
        </w:tc>
        <w:tc>
          <w:tcPr>
            <w:tcW w:type="dxa" w:w="3456"/>
            <w:vAlign w:val="top"/>
            <w:shd w:fill="0B1F3A"/>
          </w:tcPr>
          <w:p>
            <w:r/>
            <w:r>
              <w:rPr>
                <w:rFonts w:ascii="Arial" w:hAnsi="Arial"/>
                <w:b/>
                <w:color w:val="FFFFFF"/>
                <w:sz w:val="16"/>
              </w:rPr>
              <w:t>Owner</w:t>
            </w:r>
          </w:p>
        </w:tc>
      </w:tr>
      <w:tr>
        <w:tc>
          <w:tcPr>
            <w:tcW w:type="dxa" w:w="3456"/>
            <w:vAlign w:val="top"/>
          </w:tcPr>
          <w:p>
            <w:r/>
            <w:r>
              <w:rPr>
                <w:rFonts w:ascii="Arial" w:hAnsi="Arial"/>
                <w:b w:val="0"/>
                <w:color w:val="1F2937"/>
                <w:sz w:val="16"/>
              </w:rPr>
              <w:t>Prospectus page visits</w:t>
            </w:r>
          </w:p>
        </w:tc>
        <w:tc>
          <w:tcPr>
            <w:tcW w:type="dxa" w:w="3456"/>
            <w:vAlign w:val="top"/>
          </w:tcPr>
          <w:p>
            <w:r/>
            <w:r>
              <w:rPr>
                <w:rFonts w:ascii="Arial" w:hAnsi="Arial"/>
                <w:b w:val="0"/>
                <w:color w:val="1F2937"/>
                <w:sz w:val="16"/>
              </w:rPr>
              <w:t>Traffic and campaign quality</w:t>
            </w:r>
          </w:p>
        </w:tc>
        <w:tc>
          <w:tcPr>
            <w:tcW w:type="dxa" w:w="3456"/>
            <w:vAlign w:val="top"/>
          </w:tcPr>
          <w:p>
            <w:r/>
            <w:r>
              <w:rPr>
                <w:rFonts w:ascii="Arial" w:hAnsi="Arial"/>
                <w:b w:val="0"/>
                <w:color w:val="1F2937"/>
                <w:sz w:val="16"/>
              </w:rPr>
              <w:t>Marketing</w:t>
            </w:r>
          </w:p>
        </w:tc>
      </w:tr>
      <w:tr>
        <w:tc>
          <w:tcPr>
            <w:tcW w:type="dxa" w:w="3456"/>
            <w:vAlign w:val="top"/>
          </w:tcPr>
          <w:p>
            <w:r/>
            <w:r>
              <w:rPr>
                <w:rFonts w:ascii="Arial" w:hAnsi="Arial"/>
                <w:b w:val="0"/>
                <w:color w:val="1F2937"/>
                <w:sz w:val="16"/>
              </w:rPr>
              <w:t>Form start rate</w:t>
            </w:r>
          </w:p>
        </w:tc>
        <w:tc>
          <w:tcPr>
            <w:tcW w:type="dxa" w:w="3456"/>
            <w:vAlign w:val="top"/>
          </w:tcPr>
          <w:p>
            <w:r/>
            <w:r>
              <w:rPr>
                <w:rFonts w:ascii="Arial" w:hAnsi="Arial"/>
                <w:b w:val="0"/>
                <w:color w:val="1F2937"/>
                <w:sz w:val="16"/>
              </w:rPr>
              <w:t>CTA relevance</w:t>
            </w:r>
          </w:p>
        </w:tc>
        <w:tc>
          <w:tcPr>
            <w:tcW w:type="dxa" w:w="3456"/>
            <w:vAlign w:val="top"/>
          </w:tcPr>
          <w:p>
            <w:r/>
            <w:r>
              <w:rPr>
                <w:rFonts w:ascii="Arial" w:hAnsi="Arial"/>
                <w:b w:val="0"/>
                <w:color w:val="1F2937"/>
                <w:sz w:val="16"/>
              </w:rPr>
              <w:t>Marketing / Web</w:t>
            </w:r>
          </w:p>
        </w:tc>
      </w:tr>
      <w:tr>
        <w:tc>
          <w:tcPr>
            <w:tcW w:type="dxa" w:w="3456"/>
            <w:vAlign w:val="top"/>
          </w:tcPr>
          <w:p>
            <w:r/>
            <w:r>
              <w:rPr>
                <w:rFonts w:ascii="Arial" w:hAnsi="Arial"/>
                <w:b w:val="0"/>
                <w:color w:val="1F2937"/>
                <w:sz w:val="16"/>
              </w:rPr>
              <w:t>Form completion rate</w:t>
            </w:r>
          </w:p>
        </w:tc>
        <w:tc>
          <w:tcPr>
            <w:tcW w:type="dxa" w:w="3456"/>
            <w:vAlign w:val="top"/>
          </w:tcPr>
          <w:p>
            <w:r/>
            <w:r>
              <w:rPr>
                <w:rFonts w:ascii="Arial" w:hAnsi="Arial"/>
                <w:b w:val="0"/>
                <w:color w:val="1F2937"/>
                <w:sz w:val="16"/>
              </w:rPr>
              <w:t>UX quality</w:t>
            </w:r>
          </w:p>
        </w:tc>
        <w:tc>
          <w:tcPr>
            <w:tcW w:type="dxa" w:w="3456"/>
            <w:vAlign w:val="top"/>
          </w:tcPr>
          <w:p>
            <w:r/>
            <w:r>
              <w:rPr>
                <w:rFonts w:ascii="Arial" w:hAnsi="Arial"/>
                <w:b w:val="0"/>
                <w:color w:val="1F2937"/>
                <w:sz w:val="16"/>
              </w:rPr>
              <w:t>Web / Admissions</w:t>
            </w:r>
          </w:p>
        </w:tc>
      </w:tr>
      <w:tr>
        <w:tc>
          <w:tcPr>
            <w:tcW w:type="dxa" w:w="3456"/>
            <w:vAlign w:val="top"/>
          </w:tcPr>
          <w:p>
            <w:r/>
            <w:r>
              <w:rPr>
                <w:rFonts w:ascii="Arial" w:hAnsi="Arial"/>
                <w:b w:val="0"/>
                <w:color w:val="1F2937"/>
                <w:sz w:val="16"/>
              </w:rPr>
              <w:t>Prospectus download rate</w:t>
            </w:r>
          </w:p>
        </w:tc>
        <w:tc>
          <w:tcPr>
            <w:tcW w:type="dxa" w:w="3456"/>
            <w:vAlign w:val="top"/>
          </w:tcPr>
          <w:p>
            <w:r/>
            <w:r>
              <w:rPr>
                <w:rFonts w:ascii="Arial" w:hAnsi="Arial"/>
                <w:b w:val="0"/>
                <w:color w:val="1F2937"/>
                <w:sz w:val="16"/>
              </w:rPr>
              <w:t>Lead conversion</w:t>
            </w:r>
          </w:p>
        </w:tc>
        <w:tc>
          <w:tcPr>
            <w:tcW w:type="dxa" w:w="3456"/>
            <w:vAlign w:val="top"/>
          </w:tcPr>
          <w:p>
            <w:r/>
            <w:r>
              <w:rPr>
                <w:rFonts w:ascii="Arial" w:hAnsi="Arial"/>
                <w:b w:val="0"/>
                <w:color w:val="1F2937"/>
                <w:sz w:val="16"/>
              </w:rPr>
              <w:t>Admissions</w:t>
            </w:r>
          </w:p>
        </w:tc>
      </w:tr>
      <w:tr>
        <w:tc>
          <w:tcPr>
            <w:tcW w:type="dxa" w:w="3456"/>
            <w:vAlign w:val="top"/>
          </w:tcPr>
          <w:p>
            <w:r/>
            <w:r>
              <w:rPr>
                <w:rFonts w:ascii="Arial" w:hAnsi="Arial"/>
                <w:b w:val="0"/>
                <w:color w:val="1F2937"/>
                <w:sz w:val="16"/>
              </w:rPr>
              <w:t>Email open and click rates</w:t>
            </w:r>
          </w:p>
        </w:tc>
        <w:tc>
          <w:tcPr>
            <w:tcW w:type="dxa" w:w="3456"/>
            <w:vAlign w:val="top"/>
          </w:tcPr>
          <w:p>
            <w:r/>
            <w:r>
              <w:rPr>
                <w:rFonts w:ascii="Arial" w:hAnsi="Arial"/>
                <w:b w:val="0"/>
                <w:color w:val="1F2937"/>
                <w:sz w:val="16"/>
              </w:rPr>
              <w:t>Message relevance</w:t>
            </w:r>
          </w:p>
        </w:tc>
        <w:tc>
          <w:tcPr>
            <w:tcW w:type="dxa" w:w="3456"/>
            <w:vAlign w:val="top"/>
          </w:tcPr>
          <w:p>
            <w:r/>
            <w:r>
              <w:rPr>
                <w:rFonts w:ascii="Arial" w:hAnsi="Arial"/>
                <w:b w:val="0"/>
                <w:color w:val="1F2937"/>
                <w:sz w:val="16"/>
              </w:rPr>
              <w:t>Marketing</w:t>
            </w:r>
          </w:p>
        </w:tc>
      </w:tr>
      <w:tr>
        <w:tc>
          <w:tcPr>
            <w:tcW w:type="dxa" w:w="3456"/>
            <w:vAlign w:val="top"/>
          </w:tcPr>
          <w:p>
            <w:r/>
            <w:r>
              <w:rPr>
                <w:rFonts w:ascii="Arial" w:hAnsi="Arial"/>
                <w:b w:val="0"/>
                <w:color w:val="1F2937"/>
                <w:sz w:val="16"/>
              </w:rPr>
              <w:t>Profile creation rate</w:t>
            </w:r>
          </w:p>
        </w:tc>
        <w:tc>
          <w:tcPr>
            <w:tcW w:type="dxa" w:w="3456"/>
            <w:vAlign w:val="top"/>
          </w:tcPr>
          <w:p>
            <w:r/>
            <w:r>
              <w:rPr>
                <w:rFonts w:ascii="Arial" w:hAnsi="Arial"/>
                <w:b w:val="0"/>
                <w:color w:val="1F2937"/>
                <w:sz w:val="16"/>
              </w:rPr>
              <w:t>Qualified engagement</w:t>
            </w:r>
          </w:p>
        </w:tc>
        <w:tc>
          <w:tcPr>
            <w:tcW w:type="dxa" w:w="3456"/>
            <w:vAlign w:val="top"/>
          </w:tcPr>
          <w:p>
            <w:r/>
            <w:r>
              <w:rPr>
                <w:rFonts w:ascii="Arial" w:hAnsi="Arial"/>
                <w:b w:val="0"/>
                <w:color w:val="1F2937"/>
                <w:sz w:val="16"/>
              </w:rPr>
              <w:t>Admissions</w:t>
            </w:r>
          </w:p>
        </w:tc>
      </w:tr>
      <w:tr>
        <w:tc>
          <w:tcPr>
            <w:tcW w:type="dxa" w:w="3456"/>
            <w:vAlign w:val="top"/>
          </w:tcPr>
          <w:p>
            <w:r/>
            <w:r>
              <w:rPr>
                <w:rFonts w:ascii="Arial" w:hAnsi="Arial"/>
                <w:b w:val="0"/>
                <w:color w:val="1F2937"/>
                <w:sz w:val="16"/>
              </w:rPr>
              <w:t>Application start rate</w:t>
            </w:r>
          </w:p>
        </w:tc>
        <w:tc>
          <w:tcPr>
            <w:tcW w:type="dxa" w:w="3456"/>
            <w:vAlign w:val="top"/>
          </w:tcPr>
          <w:p>
            <w:r/>
            <w:r>
              <w:rPr>
                <w:rFonts w:ascii="Arial" w:hAnsi="Arial"/>
                <w:b w:val="0"/>
                <w:color w:val="1F2937"/>
                <w:sz w:val="16"/>
              </w:rPr>
              <w:t>Programme conversion</w:t>
            </w:r>
          </w:p>
        </w:tc>
        <w:tc>
          <w:tcPr>
            <w:tcW w:type="dxa" w:w="3456"/>
            <w:vAlign w:val="top"/>
          </w:tcPr>
          <w:p>
            <w:r/>
            <w:r>
              <w:rPr>
                <w:rFonts w:ascii="Arial" w:hAnsi="Arial"/>
                <w:b w:val="0"/>
                <w:color w:val="1F2937"/>
                <w:sz w:val="16"/>
              </w:rPr>
              <w:t>Admissions</w:t>
            </w:r>
          </w:p>
        </w:tc>
      </w:tr>
    </w:tbl>
    <w:p>
      <w:pPr>
        <w:spacing w:after="100"/>
      </w:pPr>
      <w:r>
        <w:t>Management should review conversion quality, not only download volume. The highest value metric is movement from prospectus request to profile creation, application, consultation or certification enquiry.</w:t>
      </w:r>
    </w:p>
    <w:p>
      <w:r>
        <w:br w:type="page"/>
      </w:r>
    </w:p>
    <w:tbl>
      <w:tblPr>
        <w:tblStyle w:val="TableGrid"/>
        <w:tblW w:type="auto" w:w="0"/>
        <w:jc w:val="center"/>
        <w:tblLook w:firstColumn="1" w:firstRow="1" w:lastColumn="0" w:lastRow="0" w:noHBand="0" w:noVBand="1" w:val="04A0"/>
      </w:tblPr>
      <w:tblGrid>
        <w:gridCol w:w="10368"/>
      </w:tblGrid>
      <w:tr>
        <w:tc>
          <w:tcPr>
            <w:tcW w:type="dxa" w:w="10368"/>
            <w:vAlign w:val="top"/>
            <w:shd w:fill="0B1F3A"/>
          </w:tcPr>
          <w:p>
            <w:pPr>
              <w:spacing w:after="240" w:before="240"/>
            </w:pPr>
            <w:r>
              <w:rPr>
                <w:rFonts w:ascii="Arial" w:hAnsi="Arial"/>
                <w:b/>
                <w:color w:val="B08D3C"/>
                <w:sz w:val="15"/>
              </w:rPr>
              <w:t>ROADMAP</w:t>
              <w:br/>
            </w:r>
            <w:r>
              <w:rPr>
                <w:rFonts w:ascii="Arial" w:hAnsi="Arial"/>
                <w:b/>
                <w:color w:val="FFFFFF"/>
                <w:sz w:val="36"/>
              </w:rPr>
              <w:t>40. Implementation Roadmap and Final Recommendation</w:t>
            </w:r>
            <w:r>
              <w:rPr>
                <w:rFonts w:ascii="Arial" w:hAnsi="Arial"/>
                <w:color w:val="DDE6F0"/>
                <w:sz w:val="18"/>
              </w:rPr>
              <w:br/>
              <w:t>Launch sequence and management decision points</w:t>
            </w:r>
          </w:p>
        </w:tc>
      </w:tr>
    </w:tbl>
    <w:tbl>
      <w:tblPr>
        <w:tblStyle w:val="TableGrid"/>
        <w:tblW w:type="auto" w:w="0"/>
        <w:jc w:val="center"/>
        <w:tblLook w:firstColumn="1" w:firstRow="1" w:lastColumn="0" w:lastRow="0" w:noHBand="0" w:noVBand="1" w:val="04A0"/>
      </w:tblPr>
      <w:tblGrid>
        <w:gridCol w:w="2592"/>
        <w:gridCol w:w="2592"/>
        <w:gridCol w:w="2592"/>
        <w:gridCol w:w="2592"/>
      </w:tblGrid>
      <w:tr>
        <w:tc>
          <w:tcPr>
            <w:tcW w:type="dxa" w:w="2592"/>
            <w:vAlign w:val="top"/>
            <w:shd w:fill="0B1F3A"/>
          </w:tcPr>
          <w:p>
            <w:r/>
            <w:r>
              <w:rPr>
                <w:rFonts w:ascii="Arial" w:hAnsi="Arial"/>
                <w:b/>
                <w:color w:val="FFFFFF"/>
                <w:sz w:val="16"/>
              </w:rPr>
              <w:t>Phase</w:t>
            </w:r>
          </w:p>
        </w:tc>
        <w:tc>
          <w:tcPr>
            <w:tcW w:type="dxa" w:w="2592"/>
            <w:vAlign w:val="top"/>
            <w:shd w:fill="0B1F3A"/>
          </w:tcPr>
          <w:p>
            <w:r/>
            <w:r>
              <w:rPr>
                <w:rFonts w:ascii="Arial" w:hAnsi="Arial"/>
                <w:b/>
                <w:color w:val="FFFFFF"/>
                <w:sz w:val="16"/>
              </w:rPr>
              <w:t>Timing</w:t>
            </w:r>
          </w:p>
        </w:tc>
        <w:tc>
          <w:tcPr>
            <w:tcW w:type="dxa" w:w="2592"/>
            <w:vAlign w:val="top"/>
            <w:shd w:fill="0B1F3A"/>
          </w:tcPr>
          <w:p>
            <w:r/>
            <w:r>
              <w:rPr>
                <w:rFonts w:ascii="Arial" w:hAnsi="Arial"/>
                <w:b/>
                <w:color w:val="FFFFFF"/>
                <w:sz w:val="16"/>
              </w:rPr>
              <w:t>Workstream</w:t>
            </w:r>
          </w:p>
        </w:tc>
        <w:tc>
          <w:tcPr>
            <w:tcW w:type="dxa" w:w="2592"/>
            <w:vAlign w:val="top"/>
            <w:shd w:fill="0B1F3A"/>
          </w:tcPr>
          <w:p>
            <w:r/>
            <w:r>
              <w:rPr>
                <w:rFonts w:ascii="Arial" w:hAnsi="Arial"/>
                <w:b/>
                <w:color w:val="FFFFFF"/>
                <w:sz w:val="16"/>
              </w:rPr>
              <w:t>Output</w:t>
            </w:r>
          </w:p>
        </w:tc>
      </w:tr>
      <w:tr>
        <w:tc>
          <w:tcPr>
            <w:tcW w:type="dxa" w:w="2592"/>
            <w:vAlign w:val="top"/>
          </w:tcPr>
          <w:p>
            <w:r/>
            <w:r>
              <w:rPr>
                <w:rFonts w:ascii="Arial" w:hAnsi="Arial"/>
                <w:b w:val="0"/>
                <w:color w:val="1F2937"/>
                <w:sz w:val="16"/>
              </w:rPr>
              <w:t>1</w:t>
            </w:r>
          </w:p>
        </w:tc>
        <w:tc>
          <w:tcPr>
            <w:tcW w:type="dxa" w:w="2592"/>
            <w:vAlign w:val="top"/>
          </w:tcPr>
          <w:p>
            <w:r/>
            <w:r>
              <w:rPr>
                <w:rFonts w:ascii="Arial" w:hAnsi="Arial"/>
                <w:b w:val="0"/>
                <w:color w:val="1F2937"/>
                <w:sz w:val="16"/>
              </w:rPr>
              <w:t>Week 1</w:t>
            </w:r>
          </w:p>
        </w:tc>
        <w:tc>
          <w:tcPr>
            <w:tcW w:type="dxa" w:w="2592"/>
            <w:vAlign w:val="top"/>
          </w:tcPr>
          <w:p>
            <w:r/>
            <w:r>
              <w:rPr>
                <w:rFonts w:ascii="Arial" w:hAnsi="Arial"/>
                <w:b w:val="0"/>
                <w:color w:val="1F2937"/>
                <w:sz w:val="16"/>
              </w:rPr>
              <w:t>Content approval</w:t>
            </w:r>
          </w:p>
        </w:tc>
        <w:tc>
          <w:tcPr>
            <w:tcW w:type="dxa" w:w="2592"/>
            <w:vAlign w:val="top"/>
          </w:tcPr>
          <w:p>
            <w:r/>
            <w:r>
              <w:rPr>
                <w:rFonts w:ascii="Arial" w:hAnsi="Arial"/>
                <w:b w:val="0"/>
                <w:color w:val="1F2937"/>
                <w:sz w:val="16"/>
              </w:rPr>
              <w:t>Approved prospectus and page copy.</w:t>
            </w:r>
          </w:p>
        </w:tc>
      </w:tr>
      <w:tr>
        <w:tc>
          <w:tcPr>
            <w:tcW w:type="dxa" w:w="2592"/>
            <w:vAlign w:val="top"/>
          </w:tcPr>
          <w:p>
            <w:r/>
            <w:r>
              <w:rPr>
                <w:rFonts w:ascii="Arial" w:hAnsi="Arial"/>
                <w:b w:val="0"/>
                <w:color w:val="1F2937"/>
                <w:sz w:val="16"/>
              </w:rPr>
              <w:t>2</w:t>
            </w:r>
          </w:p>
        </w:tc>
        <w:tc>
          <w:tcPr>
            <w:tcW w:type="dxa" w:w="2592"/>
            <w:vAlign w:val="top"/>
          </w:tcPr>
          <w:p>
            <w:r/>
            <w:r>
              <w:rPr>
                <w:rFonts w:ascii="Arial" w:hAnsi="Arial"/>
                <w:b w:val="0"/>
                <w:color w:val="1F2937"/>
                <w:sz w:val="16"/>
              </w:rPr>
              <w:t>Week 2</w:t>
            </w:r>
          </w:p>
        </w:tc>
        <w:tc>
          <w:tcPr>
            <w:tcW w:type="dxa" w:w="2592"/>
            <w:vAlign w:val="top"/>
          </w:tcPr>
          <w:p>
            <w:r/>
            <w:r>
              <w:rPr>
                <w:rFonts w:ascii="Arial" w:hAnsi="Arial"/>
                <w:b w:val="0"/>
                <w:color w:val="1F2937"/>
                <w:sz w:val="16"/>
              </w:rPr>
              <w:t>Design production</w:t>
            </w:r>
          </w:p>
        </w:tc>
        <w:tc>
          <w:tcPr>
            <w:tcW w:type="dxa" w:w="2592"/>
            <w:vAlign w:val="top"/>
          </w:tcPr>
          <w:p>
            <w:r/>
            <w:r>
              <w:rPr>
                <w:rFonts w:ascii="Arial" w:hAnsi="Arial"/>
                <w:b w:val="0"/>
                <w:color w:val="1F2937"/>
                <w:sz w:val="16"/>
              </w:rPr>
              <w:t>PDF prospectus and web mockups.</w:t>
            </w:r>
          </w:p>
        </w:tc>
      </w:tr>
      <w:tr>
        <w:tc>
          <w:tcPr>
            <w:tcW w:type="dxa" w:w="2592"/>
            <w:vAlign w:val="top"/>
          </w:tcPr>
          <w:p>
            <w:r/>
            <w:r>
              <w:rPr>
                <w:rFonts w:ascii="Arial" w:hAnsi="Arial"/>
                <w:b w:val="0"/>
                <w:color w:val="1F2937"/>
                <w:sz w:val="16"/>
              </w:rPr>
              <w:t>3</w:t>
            </w:r>
          </w:p>
        </w:tc>
        <w:tc>
          <w:tcPr>
            <w:tcW w:type="dxa" w:w="2592"/>
            <w:vAlign w:val="top"/>
          </w:tcPr>
          <w:p>
            <w:r/>
            <w:r>
              <w:rPr>
                <w:rFonts w:ascii="Arial" w:hAnsi="Arial"/>
                <w:b w:val="0"/>
                <w:color w:val="1F2937"/>
                <w:sz w:val="16"/>
              </w:rPr>
              <w:t>Week 3</w:t>
            </w:r>
          </w:p>
        </w:tc>
        <w:tc>
          <w:tcPr>
            <w:tcW w:type="dxa" w:w="2592"/>
            <w:vAlign w:val="top"/>
          </w:tcPr>
          <w:p>
            <w:r/>
            <w:r>
              <w:rPr>
                <w:rFonts w:ascii="Arial" w:hAnsi="Arial"/>
                <w:b w:val="0"/>
                <w:color w:val="1F2937"/>
                <w:sz w:val="16"/>
              </w:rPr>
              <w:t>Development</w:t>
            </w:r>
          </w:p>
        </w:tc>
        <w:tc>
          <w:tcPr>
            <w:tcW w:type="dxa" w:w="2592"/>
            <w:vAlign w:val="top"/>
          </w:tcPr>
          <w:p>
            <w:r/>
            <w:r>
              <w:rPr>
                <w:rFonts w:ascii="Arial" w:hAnsi="Arial"/>
                <w:b w:val="0"/>
                <w:color w:val="1F2937"/>
                <w:sz w:val="16"/>
              </w:rPr>
              <w:t>Form, CRM tags and email automation.</w:t>
            </w:r>
          </w:p>
        </w:tc>
      </w:tr>
      <w:tr>
        <w:tc>
          <w:tcPr>
            <w:tcW w:type="dxa" w:w="2592"/>
            <w:vAlign w:val="top"/>
          </w:tcPr>
          <w:p>
            <w:r/>
            <w:r>
              <w:rPr>
                <w:rFonts w:ascii="Arial" w:hAnsi="Arial"/>
                <w:b w:val="0"/>
                <w:color w:val="1F2937"/>
                <w:sz w:val="16"/>
              </w:rPr>
              <w:t>4</w:t>
            </w:r>
          </w:p>
        </w:tc>
        <w:tc>
          <w:tcPr>
            <w:tcW w:type="dxa" w:w="2592"/>
            <w:vAlign w:val="top"/>
          </w:tcPr>
          <w:p>
            <w:r/>
            <w:r>
              <w:rPr>
                <w:rFonts w:ascii="Arial" w:hAnsi="Arial"/>
                <w:b w:val="0"/>
                <w:color w:val="1F2937"/>
                <w:sz w:val="16"/>
              </w:rPr>
              <w:t>Week 4</w:t>
            </w:r>
          </w:p>
        </w:tc>
        <w:tc>
          <w:tcPr>
            <w:tcW w:type="dxa" w:w="2592"/>
            <w:vAlign w:val="top"/>
          </w:tcPr>
          <w:p>
            <w:r/>
            <w:r>
              <w:rPr>
                <w:rFonts w:ascii="Arial" w:hAnsi="Arial"/>
                <w:b w:val="0"/>
                <w:color w:val="1F2937"/>
                <w:sz w:val="16"/>
              </w:rPr>
              <w:t>QA</w:t>
            </w:r>
          </w:p>
        </w:tc>
        <w:tc>
          <w:tcPr>
            <w:tcW w:type="dxa" w:w="2592"/>
            <w:vAlign w:val="top"/>
          </w:tcPr>
          <w:p>
            <w:r/>
            <w:r>
              <w:rPr>
                <w:rFonts w:ascii="Arial" w:hAnsi="Arial"/>
                <w:b w:val="0"/>
                <w:color w:val="1F2937"/>
                <w:sz w:val="16"/>
              </w:rPr>
              <w:t>Mobile, CRM, email and tracking tests.</w:t>
            </w:r>
          </w:p>
        </w:tc>
      </w:tr>
      <w:tr>
        <w:tc>
          <w:tcPr>
            <w:tcW w:type="dxa" w:w="2592"/>
            <w:vAlign w:val="top"/>
          </w:tcPr>
          <w:p>
            <w:r/>
            <w:r>
              <w:rPr>
                <w:rFonts w:ascii="Arial" w:hAnsi="Arial"/>
                <w:b w:val="0"/>
                <w:color w:val="1F2937"/>
                <w:sz w:val="16"/>
              </w:rPr>
              <w:t>5</w:t>
            </w:r>
          </w:p>
        </w:tc>
        <w:tc>
          <w:tcPr>
            <w:tcW w:type="dxa" w:w="2592"/>
            <w:vAlign w:val="top"/>
          </w:tcPr>
          <w:p>
            <w:r/>
            <w:r>
              <w:rPr>
                <w:rFonts w:ascii="Arial" w:hAnsi="Arial"/>
                <w:b w:val="0"/>
                <w:color w:val="1F2937"/>
                <w:sz w:val="16"/>
              </w:rPr>
              <w:t>Launch</w:t>
            </w:r>
          </w:p>
        </w:tc>
        <w:tc>
          <w:tcPr>
            <w:tcW w:type="dxa" w:w="2592"/>
            <w:vAlign w:val="top"/>
          </w:tcPr>
          <w:p>
            <w:r/>
            <w:r>
              <w:rPr>
                <w:rFonts w:ascii="Arial" w:hAnsi="Arial"/>
                <w:b w:val="0"/>
                <w:color w:val="1F2937"/>
                <w:sz w:val="16"/>
              </w:rPr>
              <w:t>Go-live</w:t>
            </w:r>
          </w:p>
        </w:tc>
        <w:tc>
          <w:tcPr>
            <w:tcW w:type="dxa" w:w="2592"/>
            <w:vAlign w:val="top"/>
          </w:tcPr>
          <w:p>
            <w:r/>
            <w:r>
              <w:rPr>
                <w:rFonts w:ascii="Arial" w:hAnsi="Arial"/>
                <w:b w:val="0"/>
                <w:color w:val="1F2937"/>
                <w:sz w:val="16"/>
              </w:rPr>
              <w:t>Public prospectus funnel and admissions workflow.</w:t>
            </w:r>
          </w:p>
        </w:tc>
      </w:tr>
    </w:tbl>
    <w:tbl>
      <w:tblPr>
        <w:tblStyle w:val="TableGrid"/>
        <w:tblW w:type="auto" w:w="0"/>
        <w:jc w:val="center"/>
        <w:tblLook w:firstColumn="1" w:firstRow="1" w:lastColumn="0" w:lastRow="0" w:noHBand="0" w:noVBand="1" w:val="04A0"/>
      </w:tblPr>
      <w:tblGrid>
        <w:gridCol w:w="10368"/>
      </w:tblGrid>
      <w:tr>
        <w:tc>
          <w:tcPr>
            <w:tcW w:type="dxa" w:w="10368"/>
            <w:vAlign w:val="top"/>
            <w:shd w:fill="F8F3E7"/>
          </w:tcPr>
          <w:p>
            <w:pPr>
              <w:spacing w:after="120" w:before="120"/>
            </w:pPr>
            <w:r>
              <w:rPr>
                <w:rFonts w:ascii="Arial" w:hAnsi="Arial"/>
                <w:b/>
                <w:color w:val="0B1F3A"/>
                <w:sz w:val="21"/>
              </w:rPr>
              <w:t>Final recommendation</w:t>
              <w:br/>
            </w:r>
            <w:r>
              <w:rPr>
                <w:rFonts w:ascii="Arial" w:hAnsi="Arial"/>
                <w:color w:val="1F2937"/>
                <w:sz w:val="18"/>
              </w:rPr>
              <w:t>The LSSE prospectus and funnel should communicate one message clearly: LSSE is not simply offering courses. LSSE is building a serious professional learning ecosystem for people and institutions working across social enterprise, ESG, sustainable economics and public value.</w:t>
            </w:r>
          </w:p>
        </w:tc>
      </w:tr>
    </w:tbl>
    <w:sectPr w:rsidR="00FC693F" w:rsidRPr="0006063C" w:rsidSect="00034616">
      <w:footerReference w:type="default" r:id="rId9"/>
      <w:pgSz w:w="12240" w:h="15840"/>
      <w:pgMar w:top="893" w:right="936" w:bottom="893"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color w:val="5A6470"/>
        <w:sz w:val="14"/>
      </w:rPr>
      <w:t>LSSE Digital Prospectus and Funnel | Confidential Management and Implementation Draft</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B1F3A"/>
      <w:sz w:val="3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123B69"/>
      <w:sz w:val="25"/>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B1F3A"/>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rPr>
      <w:rFonts w:ascii="Arial" w:hAnsi="Arial"/>
      <w:sz w:val="18"/>
    </w:r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rPr>
      <w:rFonts w:ascii="Arial" w:hAnsi="Arial"/>
      <w:sz w:val="18"/>
    </w:r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